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F131" w14:textId="77777777" w:rsidR="002368FB" w:rsidRPr="00BD3139" w:rsidRDefault="002368FB" w:rsidP="002368FB">
      <w:pPr>
        <w:jc w:val="center"/>
        <w:rPr>
          <w:b/>
          <w:sz w:val="22"/>
          <w:szCs w:val="22"/>
        </w:rPr>
      </w:pPr>
      <w:r w:rsidRPr="00BD3139">
        <w:rPr>
          <w:b/>
          <w:sz w:val="22"/>
          <w:szCs w:val="22"/>
        </w:rPr>
        <w:t>Budget Justification</w:t>
      </w:r>
    </w:p>
    <w:p w14:paraId="13B6A744" w14:textId="77777777" w:rsidR="002368FB" w:rsidRPr="00BD3139" w:rsidRDefault="002368FB" w:rsidP="002368FB">
      <w:pPr>
        <w:jc w:val="both"/>
        <w:rPr>
          <w:sz w:val="22"/>
          <w:szCs w:val="22"/>
        </w:rPr>
      </w:pPr>
    </w:p>
    <w:p w14:paraId="613B9399" w14:textId="75542988" w:rsidR="002368FB" w:rsidRPr="00BD3139" w:rsidRDefault="002368FB" w:rsidP="0078280D">
      <w:pPr>
        <w:pStyle w:val="ListParagraph"/>
        <w:ind w:left="360"/>
        <w:rPr>
          <w:b/>
          <w:sz w:val="22"/>
          <w:szCs w:val="22"/>
        </w:rPr>
      </w:pPr>
      <w:r w:rsidRPr="00BD3139">
        <w:rPr>
          <w:b/>
          <w:sz w:val="22"/>
          <w:szCs w:val="22"/>
        </w:rPr>
        <w:t>Senior Personnel</w:t>
      </w:r>
      <w:r w:rsidR="000E624B">
        <w:rPr>
          <w:b/>
          <w:sz w:val="22"/>
          <w:szCs w:val="22"/>
        </w:rPr>
        <w:t xml:space="preserve"> </w:t>
      </w:r>
    </w:p>
    <w:p w14:paraId="459A41C1" w14:textId="2FAC4CC2" w:rsidR="005F184C" w:rsidRPr="00BD3139" w:rsidRDefault="005F184C" w:rsidP="000660C6">
      <w:pPr>
        <w:jc w:val="both"/>
        <w:rPr>
          <w:i/>
          <w:sz w:val="22"/>
          <w:szCs w:val="22"/>
        </w:rPr>
      </w:pPr>
      <w:r w:rsidRPr="00BD3139">
        <w:rPr>
          <w:i/>
          <w:sz w:val="22"/>
          <w:szCs w:val="22"/>
        </w:rPr>
        <w:t xml:space="preserve">Include names, titles, and roles </w:t>
      </w:r>
      <w:r w:rsidR="000660C6" w:rsidRPr="00BD3139">
        <w:rPr>
          <w:i/>
          <w:sz w:val="22"/>
          <w:szCs w:val="22"/>
        </w:rPr>
        <w:t xml:space="preserve">of all key Rollins personnel involved in </w:t>
      </w:r>
      <w:r w:rsidRPr="00BD3139">
        <w:rPr>
          <w:i/>
          <w:sz w:val="22"/>
          <w:szCs w:val="22"/>
        </w:rPr>
        <w:t>the project. For each, include % of</w:t>
      </w:r>
      <w:r w:rsidR="000660C6" w:rsidRPr="00BD3139">
        <w:rPr>
          <w:i/>
          <w:sz w:val="22"/>
          <w:szCs w:val="22"/>
        </w:rPr>
        <w:t xml:space="preserve"> </w:t>
      </w:r>
      <w:r w:rsidRPr="00BD3139">
        <w:rPr>
          <w:i/>
          <w:sz w:val="22"/>
          <w:szCs w:val="22"/>
        </w:rPr>
        <w:t xml:space="preserve">effort </w:t>
      </w:r>
      <w:r w:rsidR="005F75D3" w:rsidRPr="00BD3139">
        <w:rPr>
          <w:i/>
          <w:sz w:val="22"/>
          <w:szCs w:val="22"/>
        </w:rPr>
        <w:t xml:space="preserve">or person months </w:t>
      </w:r>
      <w:r w:rsidRPr="00BD3139">
        <w:rPr>
          <w:i/>
          <w:sz w:val="22"/>
          <w:szCs w:val="22"/>
        </w:rPr>
        <w:t>to be contributed to the project, and specify the time period</w:t>
      </w:r>
      <w:r w:rsidR="000660C6" w:rsidRPr="00BD3139">
        <w:rPr>
          <w:i/>
          <w:sz w:val="22"/>
          <w:szCs w:val="22"/>
        </w:rPr>
        <w:t>. I</w:t>
      </w:r>
      <w:r w:rsidRPr="00BD3139">
        <w:rPr>
          <w:i/>
          <w:sz w:val="22"/>
          <w:szCs w:val="22"/>
        </w:rPr>
        <w:t xml:space="preserve">nclude </w:t>
      </w:r>
      <w:r w:rsidR="000660C6" w:rsidRPr="00BD3139">
        <w:rPr>
          <w:i/>
          <w:sz w:val="22"/>
          <w:szCs w:val="22"/>
        </w:rPr>
        <w:t xml:space="preserve">current </w:t>
      </w:r>
      <w:r w:rsidRPr="00BD3139">
        <w:rPr>
          <w:i/>
          <w:sz w:val="22"/>
          <w:szCs w:val="22"/>
        </w:rPr>
        <w:t>rate of compensation</w:t>
      </w:r>
      <w:r w:rsidR="000660C6" w:rsidRPr="00BD3139">
        <w:rPr>
          <w:i/>
          <w:sz w:val="22"/>
          <w:szCs w:val="22"/>
        </w:rPr>
        <w:t xml:space="preserve"> for each</w:t>
      </w:r>
      <w:r w:rsidR="007C7F34" w:rsidRPr="00BD3139">
        <w:rPr>
          <w:i/>
          <w:sz w:val="22"/>
          <w:szCs w:val="22"/>
        </w:rPr>
        <w:t xml:space="preserve"> (calculated using the individual’s current institutional base salary)</w:t>
      </w:r>
      <w:r w:rsidRPr="00BD3139">
        <w:rPr>
          <w:i/>
          <w:sz w:val="22"/>
          <w:szCs w:val="22"/>
        </w:rPr>
        <w:t xml:space="preserve"> and </w:t>
      </w:r>
      <w:r w:rsidR="00D06B27" w:rsidRPr="00BD3139">
        <w:rPr>
          <w:i/>
          <w:sz w:val="22"/>
          <w:szCs w:val="22"/>
        </w:rPr>
        <w:t>a 2</w:t>
      </w:r>
      <w:r w:rsidRPr="00BD3139">
        <w:rPr>
          <w:i/>
          <w:sz w:val="22"/>
          <w:szCs w:val="22"/>
        </w:rPr>
        <w:t xml:space="preserve">% </w:t>
      </w:r>
      <w:r w:rsidR="00B526A9">
        <w:rPr>
          <w:i/>
          <w:sz w:val="22"/>
          <w:szCs w:val="22"/>
        </w:rPr>
        <w:t xml:space="preserve">annual </w:t>
      </w:r>
      <w:r w:rsidRPr="00BD3139">
        <w:rPr>
          <w:i/>
          <w:sz w:val="22"/>
          <w:szCs w:val="22"/>
        </w:rPr>
        <w:t>increase if project spans multiple years.</w:t>
      </w:r>
    </w:p>
    <w:p w14:paraId="49D9558A" w14:textId="77777777" w:rsidR="00061F65" w:rsidRPr="00BD3139" w:rsidRDefault="00061F65" w:rsidP="0078280D">
      <w:pPr>
        <w:ind w:left="360"/>
        <w:jc w:val="both"/>
        <w:rPr>
          <w:sz w:val="22"/>
          <w:szCs w:val="22"/>
        </w:rPr>
      </w:pPr>
    </w:p>
    <w:p w14:paraId="31B37377" w14:textId="77777777" w:rsidR="002368FB" w:rsidRPr="00BD3139" w:rsidRDefault="007D5D0B" w:rsidP="0078280D">
      <w:pPr>
        <w:pStyle w:val="ListParagraph"/>
        <w:ind w:left="360"/>
        <w:rPr>
          <w:b/>
          <w:sz w:val="22"/>
          <w:szCs w:val="22"/>
        </w:rPr>
      </w:pPr>
      <w:r w:rsidRPr="00BD3139">
        <w:rPr>
          <w:b/>
          <w:sz w:val="22"/>
          <w:szCs w:val="22"/>
        </w:rPr>
        <w:t>Other Personnel</w:t>
      </w:r>
    </w:p>
    <w:p w14:paraId="4C615806" w14:textId="22FB6476" w:rsidR="002368FB" w:rsidRPr="00BD3139" w:rsidRDefault="000660C6" w:rsidP="007C7F34">
      <w:pPr>
        <w:pStyle w:val="ListParagraph"/>
        <w:numPr>
          <w:ilvl w:val="0"/>
          <w:numId w:val="0"/>
        </w:numPr>
        <w:tabs>
          <w:tab w:val="clear" w:pos="360"/>
          <w:tab w:val="left" w:pos="0"/>
        </w:tabs>
        <w:rPr>
          <w:i/>
          <w:sz w:val="22"/>
          <w:szCs w:val="22"/>
        </w:rPr>
      </w:pPr>
      <w:r w:rsidRPr="00BD3139">
        <w:rPr>
          <w:i/>
          <w:sz w:val="22"/>
          <w:szCs w:val="22"/>
        </w:rPr>
        <w:t xml:space="preserve">Include number of </w:t>
      </w:r>
      <w:r w:rsidR="007C7F34" w:rsidRPr="00BD3139">
        <w:rPr>
          <w:i/>
          <w:sz w:val="22"/>
          <w:szCs w:val="22"/>
        </w:rPr>
        <w:t xml:space="preserve">Rollins </w:t>
      </w:r>
      <w:r w:rsidRPr="00BD3139">
        <w:rPr>
          <w:i/>
          <w:sz w:val="22"/>
          <w:szCs w:val="22"/>
        </w:rPr>
        <w:t xml:space="preserve">students </w:t>
      </w:r>
      <w:r w:rsidR="007C7F34" w:rsidRPr="00BD3139">
        <w:rPr>
          <w:i/>
          <w:sz w:val="22"/>
          <w:szCs w:val="22"/>
        </w:rPr>
        <w:t>or other personnel</w:t>
      </w:r>
      <w:r w:rsidR="002307FC" w:rsidRPr="00BD3139">
        <w:rPr>
          <w:i/>
          <w:sz w:val="22"/>
          <w:szCs w:val="22"/>
        </w:rPr>
        <w:t xml:space="preserve"> t</w:t>
      </w:r>
      <w:r w:rsidRPr="00BD3139">
        <w:rPr>
          <w:i/>
          <w:sz w:val="22"/>
          <w:szCs w:val="22"/>
        </w:rPr>
        <w:t xml:space="preserve">o be involved </w:t>
      </w:r>
      <w:r w:rsidR="009252D7" w:rsidRPr="00BD3139">
        <w:rPr>
          <w:i/>
          <w:sz w:val="22"/>
          <w:szCs w:val="22"/>
        </w:rPr>
        <w:t xml:space="preserve">in the project, their roles, </w:t>
      </w:r>
      <w:r w:rsidR="002307FC" w:rsidRPr="00BD3139">
        <w:rPr>
          <w:i/>
          <w:sz w:val="22"/>
          <w:szCs w:val="22"/>
        </w:rPr>
        <w:t xml:space="preserve">estimated hours, </w:t>
      </w:r>
      <w:r w:rsidR="009252D7" w:rsidRPr="00BD3139">
        <w:rPr>
          <w:i/>
          <w:sz w:val="22"/>
          <w:szCs w:val="22"/>
        </w:rPr>
        <w:t>and amount of requested stipends</w:t>
      </w:r>
      <w:r w:rsidR="007C7F34" w:rsidRPr="00BD3139">
        <w:rPr>
          <w:i/>
          <w:sz w:val="22"/>
          <w:szCs w:val="22"/>
        </w:rPr>
        <w:t xml:space="preserve"> or rate of compensation</w:t>
      </w:r>
      <w:r w:rsidR="009252D7" w:rsidRPr="00BD3139">
        <w:rPr>
          <w:i/>
          <w:sz w:val="22"/>
          <w:szCs w:val="22"/>
        </w:rPr>
        <w:t>.</w:t>
      </w:r>
    </w:p>
    <w:p w14:paraId="4D7AB612" w14:textId="77777777" w:rsidR="009252D7" w:rsidRPr="00BD3139" w:rsidRDefault="009252D7" w:rsidP="0078280D">
      <w:pPr>
        <w:pStyle w:val="ListParagraph"/>
        <w:numPr>
          <w:ilvl w:val="0"/>
          <w:numId w:val="0"/>
        </w:numPr>
        <w:ind w:left="360" w:hanging="360"/>
        <w:rPr>
          <w:sz w:val="22"/>
          <w:szCs w:val="22"/>
        </w:rPr>
      </w:pPr>
    </w:p>
    <w:p w14:paraId="77A7ACD9" w14:textId="77777777" w:rsidR="002368FB" w:rsidRPr="00BD3139" w:rsidRDefault="002368FB" w:rsidP="0078280D">
      <w:pPr>
        <w:pStyle w:val="ListParagraph"/>
        <w:ind w:left="360"/>
        <w:rPr>
          <w:b/>
          <w:sz w:val="22"/>
          <w:szCs w:val="22"/>
        </w:rPr>
      </w:pPr>
      <w:r w:rsidRPr="00BD3139">
        <w:rPr>
          <w:b/>
          <w:sz w:val="22"/>
          <w:szCs w:val="22"/>
        </w:rPr>
        <w:t>Fringe Benefits</w:t>
      </w:r>
    </w:p>
    <w:p w14:paraId="769EF8A4" w14:textId="24581A78" w:rsidR="005F184C" w:rsidRPr="00BD3139" w:rsidRDefault="009252D7" w:rsidP="007C7F34">
      <w:pPr>
        <w:pStyle w:val="ListParagraph"/>
        <w:numPr>
          <w:ilvl w:val="0"/>
          <w:numId w:val="0"/>
        </w:numPr>
        <w:tabs>
          <w:tab w:val="clear" w:pos="360"/>
          <w:tab w:val="left" w:pos="0"/>
        </w:tabs>
        <w:rPr>
          <w:i/>
          <w:sz w:val="22"/>
          <w:szCs w:val="22"/>
        </w:rPr>
      </w:pPr>
      <w:r w:rsidRPr="00BD3139">
        <w:rPr>
          <w:i/>
          <w:sz w:val="22"/>
          <w:szCs w:val="22"/>
        </w:rPr>
        <w:t>Fringe benefits must be included for all personnel</w:t>
      </w:r>
      <w:r w:rsidR="007C7F34" w:rsidRPr="00BD3139">
        <w:rPr>
          <w:i/>
          <w:sz w:val="22"/>
          <w:szCs w:val="22"/>
        </w:rPr>
        <w:t xml:space="preserve">. For students, fringe only applies when the student is not actively enrolled full-time (i.e., over the summer). </w:t>
      </w:r>
      <w:r w:rsidRPr="00BD3139">
        <w:rPr>
          <w:i/>
          <w:sz w:val="22"/>
          <w:szCs w:val="22"/>
        </w:rPr>
        <w:t>Use current rates.</w:t>
      </w:r>
      <w:r w:rsidR="00CF39E9" w:rsidRPr="00BD3139">
        <w:rPr>
          <w:i/>
          <w:sz w:val="22"/>
          <w:szCs w:val="22"/>
        </w:rPr>
        <w:t xml:space="preserve"> For FY2</w:t>
      </w:r>
      <w:r w:rsidR="00B21A52">
        <w:rPr>
          <w:i/>
          <w:sz w:val="22"/>
          <w:szCs w:val="22"/>
        </w:rPr>
        <w:t>4</w:t>
      </w:r>
      <w:r w:rsidR="00CF39E9" w:rsidRPr="00BD3139">
        <w:rPr>
          <w:i/>
          <w:sz w:val="22"/>
          <w:szCs w:val="22"/>
        </w:rPr>
        <w:t>:</w:t>
      </w:r>
    </w:p>
    <w:p w14:paraId="4BB59680" w14:textId="77777777" w:rsidR="00D06B27" w:rsidRPr="00BD3139" w:rsidRDefault="00D06B27" w:rsidP="004969B6">
      <w:pPr>
        <w:pStyle w:val="ListParagraph"/>
        <w:numPr>
          <w:ilvl w:val="0"/>
          <w:numId w:val="6"/>
        </w:numPr>
        <w:rPr>
          <w:i/>
          <w:sz w:val="22"/>
          <w:szCs w:val="22"/>
        </w:rPr>
      </w:pPr>
      <w:r w:rsidRPr="00BD3139">
        <w:rPr>
          <w:i/>
          <w:sz w:val="22"/>
          <w:szCs w:val="22"/>
        </w:rPr>
        <w:t xml:space="preserve">8.1% for positions </w:t>
      </w:r>
      <w:r w:rsidR="004969B6" w:rsidRPr="00BD3139">
        <w:rPr>
          <w:i/>
          <w:sz w:val="22"/>
          <w:szCs w:val="22"/>
        </w:rPr>
        <w:t xml:space="preserve">that are </w:t>
      </w:r>
      <w:r w:rsidRPr="00BD3139">
        <w:rPr>
          <w:i/>
          <w:sz w:val="22"/>
          <w:szCs w:val="22"/>
        </w:rPr>
        <w:t xml:space="preserve">&lt; </w:t>
      </w:r>
      <w:r w:rsidR="004969B6" w:rsidRPr="00BD3139">
        <w:rPr>
          <w:i/>
          <w:sz w:val="22"/>
          <w:szCs w:val="22"/>
        </w:rPr>
        <w:t>975</w:t>
      </w:r>
      <w:r w:rsidRPr="00BD3139">
        <w:rPr>
          <w:i/>
          <w:sz w:val="22"/>
          <w:szCs w:val="22"/>
        </w:rPr>
        <w:t xml:space="preserve"> hours per year (including all summer stipends and overloads)</w:t>
      </w:r>
    </w:p>
    <w:p w14:paraId="105B8E23" w14:textId="18F74B79" w:rsidR="00D06B27" w:rsidRPr="00BD3139" w:rsidRDefault="00CF39E9" w:rsidP="004969B6">
      <w:pPr>
        <w:pStyle w:val="ListParagraph"/>
        <w:numPr>
          <w:ilvl w:val="0"/>
          <w:numId w:val="6"/>
        </w:numPr>
        <w:rPr>
          <w:i/>
          <w:sz w:val="22"/>
          <w:szCs w:val="22"/>
        </w:rPr>
      </w:pPr>
      <w:r w:rsidRPr="00BD3139">
        <w:rPr>
          <w:i/>
          <w:sz w:val="22"/>
          <w:szCs w:val="22"/>
        </w:rPr>
        <w:t>19.</w:t>
      </w:r>
      <w:r w:rsidR="00616447">
        <w:rPr>
          <w:i/>
          <w:sz w:val="22"/>
          <w:szCs w:val="22"/>
        </w:rPr>
        <w:t>47</w:t>
      </w:r>
      <w:r w:rsidR="00D06B27" w:rsidRPr="00BD3139">
        <w:rPr>
          <w:i/>
          <w:sz w:val="22"/>
          <w:szCs w:val="22"/>
        </w:rPr>
        <w:t xml:space="preserve">% for positions </w:t>
      </w:r>
      <w:r w:rsidR="004969B6" w:rsidRPr="00BD3139">
        <w:rPr>
          <w:i/>
          <w:sz w:val="22"/>
          <w:szCs w:val="22"/>
        </w:rPr>
        <w:t>that are 975</w:t>
      </w:r>
      <w:r w:rsidR="00D06B27" w:rsidRPr="00BD3139">
        <w:rPr>
          <w:i/>
          <w:sz w:val="22"/>
          <w:szCs w:val="22"/>
        </w:rPr>
        <w:t>-146</w:t>
      </w:r>
      <w:r w:rsidR="004969B6" w:rsidRPr="00BD3139">
        <w:rPr>
          <w:i/>
          <w:sz w:val="22"/>
          <w:szCs w:val="22"/>
        </w:rPr>
        <w:t>2.50</w:t>
      </w:r>
      <w:r w:rsidR="00D06B27" w:rsidRPr="00BD3139">
        <w:rPr>
          <w:i/>
          <w:sz w:val="22"/>
          <w:szCs w:val="22"/>
        </w:rPr>
        <w:t xml:space="preserve"> hours per year</w:t>
      </w:r>
      <w:r w:rsidR="004969B6" w:rsidRPr="00BD3139">
        <w:rPr>
          <w:i/>
          <w:sz w:val="22"/>
          <w:szCs w:val="22"/>
        </w:rPr>
        <w:t xml:space="preserve"> (part-time)</w:t>
      </w:r>
    </w:p>
    <w:p w14:paraId="23687BD4" w14:textId="7496DAB1" w:rsidR="00D06B27" w:rsidRPr="00BD3139" w:rsidRDefault="005F75D3" w:rsidP="00CF39E9">
      <w:pPr>
        <w:pStyle w:val="ListParagraph"/>
        <w:numPr>
          <w:ilvl w:val="0"/>
          <w:numId w:val="6"/>
        </w:numPr>
        <w:rPr>
          <w:i/>
          <w:sz w:val="22"/>
          <w:szCs w:val="22"/>
        </w:rPr>
      </w:pPr>
      <w:r w:rsidRPr="00BD3139">
        <w:rPr>
          <w:i/>
          <w:sz w:val="22"/>
          <w:szCs w:val="22"/>
        </w:rPr>
        <w:t>4</w:t>
      </w:r>
      <w:r w:rsidR="00616447">
        <w:rPr>
          <w:i/>
          <w:sz w:val="22"/>
          <w:szCs w:val="22"/>
        </w:rPr>
        <w:t>0.00</w:t>
      </w:r>
      <w:r w:rsidR="00D06B27" w:rsidRPr="00BD3139">
        <w:rPr>
          <w:i/>
          <w:sz w:val="22"/>
          <w:szCs w:val="22"/>
        </w:rPr>
        <w:t xml:space="preserve">% for positions </w:t>
      </w:r>
      <w:r w:rsidR="004969B6" w:rsidRPr="00BD3139">
        <w:rPr>
          <w:i/>
          <w:sz w:val="22"/>
          <w:szCs w:val="22"/>
        </w:rPr>
        <w:t>that are</w:t>
      </w:r>
      <w:r w:rsidR="00D06B27" w:rsidRPr="00BD3139">
        <w:rPr>
          <w:i/>
          <w:sz w:val="22"/>
          <w:szCs w:val="22"/>
        </w:rPr>
        <w:t xml:space="preserve"> &gt; 1462</w:t>
      </w:r>
      <w:r w:rsidR="004969B6" w:rsidRPr="00BD3139">
        <w:rPr>
          <w:i/>
          <w:sz w:val="22"/>
          <w:szCs w:val="22"/>
        </w:rPr>
        <w:t>.50</w:t>
      </w:r>
      <w:r w:rsidR="00D06B27" w:rsidRPr="00BD3139">
        <w:rPr>
          <w:i/>
          <w:sz w:val="22"/>
          <w:szCs w:val="22"/>
        </w:rPr>
        <w:t xml:space="preserve"> hours per year</w:t>
      </w:r>
      <w:r w:rsidR="004969B6" w:rsidRPr="00BD3139">
        <w:rPr>
          <w:i/>
          <w:sz w:val="22"/>
          <w:szCs w:val="22"/>
        </w:rPr>
        <w:t xml:space="preserve"> (full-time)</w:t>
      </w:r>
    </w:p>
    <w:p w14:paraId="7A6346CF" w14:textId="0B8E2421" w:rsidR="00D06B27" w:rsidRPr="00BD3139" w:rsidRDefault="005F75D3" w:rsidP="004969B6">
      <w:pPr>
        <w:pStyle w:val="ListParagraph"/>
        <w:numPr>
          <w:ilvl w:val="0"/>
          <w:numId w:val="6"/>
        </w:numPr>
        <w:rPr>
          <w:i/>
          <w:sz w:val="22"/>
          <w:szCs w:val="22"/>
        </w:rPr>
      </w:pPr>
      <w:r w:rsidRPr="00BD3139">
        <w:rPr>
          <w:i/>
          <w:sz w:val="22"/>
          <w:szCs w:val="22"/>
        </w:rPr>
        <w:t>3</w:t>
      </w:r>
      <w:r w:rsidR="00616447">
        <w:rPr>
          <w:i/>
          <w:sz w:val="22"/>
          <w:szCs w:val="22"/>
        </w:rPr>
        <w:t>1.87</w:t>
      </w:r>
      <w:r w:rsidR="004969B6" w:rsidRPr="00BD3139">
        <w:rPr>
          <w:i/>
          <w:sz w:val="22"/>
          <w:szCs w:val="22"/>
        </w:rPr>
        <w:t>% for positions that are</w:t>
      </w:r>
      <w:r w:rsidR="00D06B27" w:rsidRPr="00BD3139">
        <w:rPr>
          <w:i/>
          <w:sz w:val="22"/>
          <w:szCs w:val="22"/>
        </w:rPr>
        <w:t xml:space="preserve"> &gt;1462</w:t>
      </w:r>
      <w:r w:rsidR="004969B6" w:rsidRPr="00BD3139">
        <w:rPr>
          <w:i/>
          <w:sz w:val="22"/>
          <w:szCs w:val="22"/>
        </w:rPr>
        <w:t>.50</w:t>
      </w:r>
      <w:r w:rsidR="00D06B27" w:rsidRPr="00BD3139">
        <w:rPr>
          <w:i/>
          <w:sz w:val="22"/>
          <w:szCs w:val="22"/>
        </w:rPr>
        <w:t xml:space="preserve"> hours per year on a </w:t>
      </w:r>
      <w:r w:rsidR="0063420F" w:rsidRPr="00BD3139">
        <w:rPr>
          <w:i/>
          <w:sz w:val="22"/>
          <w:szCs w:val="22"/>
        </w:rPr>
        <w:t>federally sponsored</w:t>
      </w:r>
      <w:r w:rsidR="00D06B27" w:rsidRPr="00BD3139">
        <w:rPr>
          <w:i/>
          <w:sz w:val="22"/>
          <w:szCs w:val="22"/>
        </w:rPr>
        <w:t xml:space="preserve"> project (does not include tuition remission)</w:t>
      </w:r>
    </w:p>
    <w:p w14:paraId="4DA06863" w14:textId="77777777" w:rsidR="009252D7" w:rsidRPr="00BD3139" w:rsidRDefault="009252D7" w:rsidP="0078280D">
      <w:pPr>
        <w:pStyle w:val="ListParagraph"/>
        <w:numPr>
          <w:ilvl w:val="0"/>
          <w:numId w:val="0"/>
        </w:numPr>
        <w:ind w:left="360" w:hanging="360"/>
        <w:rPr>
          <w:sz w:val="22"/>
          <w:szCs w:val="22"/>
        </w:rPr>
      </w:pPr>
    </w:p>
    <w:p w14:paraId="1DD17B1A" w14:textId="77777777" w:rsidR="002368FB" w:rsidRPr="00BD3139" w:rsidRDefault="002368FB" w:rsidP="0078280D">
      <w:pPr>
        <w:pStyle w:val="ListParagraph"/>
        <w:ind w:left="360"/>
        <w:rPr>
          <w:b/>
          <w:sz w:val="22"/>
          <w:szCs w:val="22"/>
        </w:rPr>
      </w:pPr>
      <w:r w:rsidRPr="00BD3139">
        <w:rPr>
          <w:b/>
          <w:sz w:val="22"/>
          <w:szCs w:val="22"/>
        </w:rPr>
        <w:t>Equipment</w:t>
      </w:r>
    </w:p>
    <w:p w14:paraId="086C65D2" w14:textId="711A8B3C" w:rsidR="009A4C13" w:rsidRPr="00BD3139" w:rsidRDefault="007C7F34" w:rsidP="007C7F34">
      <w:pPr>
        <w:jc w:val="both"/>
        <w:rPr>
          <w:i/>
          <w:sz w:val="22"/>
          <w:szCs w:val="22"/>
        </w:rPr>
      </w:pPr>
      <w:r w:rsidRPr="00BD3139">
        <w:rPr>
          <w:i/>
          <w:sz w:val="22"/>
          <w:szCs w:val="22"/>
        </w:rPr>
        <w:t xml:space="preserve">Equipment is defined as tangible personal property (including information technology systems) having a useful life of more than one year and a per-unit acquisition cost of over $5,000. </w:t>
      </w:r>
      <w:r w:rsidR="0043216A" w:rsidRPr="00BD3139">
        <w:rPr>
          <w:i/>
          <w:sz w:val="22"/>
          <w:szCs w:val="22"/>
        </w:rPr>
        <w:t>Items of needed equipment must be adequately justified, listed individually by description and estimated cost</w:t>
      </w:r>
      <w:r w:rsidR="006E474E" w:rsidRPr="00BD3139">
        <w:rPr>
          <w:i/>
          <w:sz w:val="22"/>
          <w:szCs w:val="22"/>
        </w:rPr>
        <w:t xml:space="preserve"> </w:t>
      </w:r>
      <w:r w:rsidR="005F184C" w:rsidRPr="00BD3139">
        <w:rPr>
          <w:i/>
          <w:sz w:val="22"/>
          <w:szCs w:val="22"/>
        </w:rPr>
        <w:t>(i.e., a vendor quote).</w:t>
      </w:r>
      <w:r w:rsidR="00E3201A" w:rsidRPr="00BD3139">
        <w:rPr>
          <w:sz w:val="22"/>
          <w:szCs w:val="22"/>
        </w:rPr>
        <w:t xml:space="preserve"> </w:t>
      </w:r>
    </w:p>
    <w:p w14:paraId="418AE6CE" w14:textId="77777777" w:rsidR="002368FB" w:rsidRPr="00BD3139" w:rsidRDefault="002368FB" w:rsidP="0078280D">
      <w:pPr>
        <w:pStyle w:val="ListParagraph"/>
        <w:numPr>
          <w:ilvl w:val="0"/>
          <w:numId w:val="0"/>
        </w:numPr>
        <w:ind w:left="360" w:hanging="360"/>
        <w:rPr>
          <w:sz w:val="22"/>
          <w:szCs w:val="22"/>
        </w:rPr>
      </w:pPr>
    </w:p>
    <w:p w14:paraId="08C54B8D" w14:textId="77777777" w:rsidR="002368FB" w:rsidRPr="00BD3139" w:rsidRDefault="002368FB" w:rsidP="0078280D">
      <w:pPr>
        <w:pStyle w:val="ListParagraph"/>
        <w:ind w:left="360"/>
        <w:rPr>
          <w:b/>
          <w:sz w:val="22"/>
          <w:szCs w:val="22"/>
        </w:rPr>
      </w:pPr>
      <w:r w:rsidRPr="00BD3139">
        <w:rPr>
          <w:b/>
          <w:sz w:val="22"/>
          <w:szCs w:val="22"/>
        </w:rPr>
        <w:t>Travel</w:t>
      </w:r>
    </w:p>
    <w:p w14:paraId="13F0041E" w14:textId="26E7BA6A" w:rsidR="003439D3" w:rsidRPr="00BD3139" w:rsidRDefault="007C7F34" w:rsidP="00BD3139">
      <w:pPr>
        <w:rPr>
          <w:i/>
          <w:sz w:val="22"/>
          <w:szCs w:val="22"/>
        </w:rPr>
      </w:pPr>
      <w:r w:rsidRPr="00BD3139">
        <w:rPr>
          <w:i/>
          <w:sz w:val="22"/>
          <w:szCs w:val="22"/>
        </w:rPr>
        <w:t xml:space="preserve">Travel and its relation to the proposed activities should be specified, itemized and justified by destination and cost. </w:t>
      </w:r>
      <w:r w:rsidR="00696A72" w:rsidRPr="00BD3139">
        <w:rPr>
          <w:i/>
          <w:sz w:val="22"/>
          <w:szCs w:val="22"/>
        </w:rPr>
        <w:t xml:space="preserve">Funds may be requested for field work, attendance at meetings and conferences, and other travel associated with the proposed work, including subsistence. </w:t>
      </w:r>
      <w:r w:rsidR="00BD3139">
        <w:rPr>
          <w:i/>
          <w:sz w:val="22"/>
          <w:szCs w:val="22"/>
        </w:rPr>
        <w:t>A</w:t>
      </w:r>
      <w:r w:rsidR="00696A72" w:rsidRPr="00BD3139">
        <w:rPr>
          <w:i/>
          <w:sz w:val="22"/>
          <w:szCs w:val="22"/>
        </w:rPr>
        <w:t xml:space="preserve">ttendance at meetings or conferences </w:t>
      </w:r>
      <w:r w:rsidR="00696A72" w:rsidRPr="00BD3139">
        <w:rPr>
          <w:b/>
          <w:bCs/>
          <w:i/>
          <w:sz w:val="22"/>
          <w:szCs w:val="22"/>
        </w:rPr>
        <w:t>must</w:t>
      </w:r>
      <w:r w:rsidR="00696A72" w:rsidRPr="00BD3139">
        <w:rPr>
          <w:i/>
          <w:sz w:val="22"/>
          <w:szCs w:val="22"/>
        </w:rPr>
        <w:t xml:space="preserve"> be necessary to accomplish proposal objectives or disseminate research results. Allowance for air travel normally will not exceed the cost of round-trip, economy airfares. Persons traveling under </w:t>
      </w:r>
      <w:r w:rsidR="00653E9B">
        <w:rPr>
          <w:i/>
          <w:sz w:val="22"/>
          <w:szCs w:val="22"/>
        </w:rPr>
        <w:t>federal grant</w:t>
      </w:r>
      <w:r w:rsidR="00696A72" w:rsidRPr="00BD3139">
        <w:rPr>
          <w:i/>
          <w:sz w:val="22"/>
          <w:szCs w:val="22"/>
        </w:rPr>
        <w:t xml:space="preserve"> awards must travel by U.S.-Flag Air carriers, if available.</w:t>
      </w:r>
      <w:r w:rsidR="00B86561" w:rsidRPr="00BD3139">
        <w:rPr>
          <w:i/>
          <w:sz w:val="22"/>
          <w:szCs w:val="22"/>
        </w:rPr>
        <w:t xml:space="preserve"> </w:t>
      </w:r>
      <w:r w:rsidR="005F184C" w:rsidRPr="00BD3139">
        <w:rPr>
          <w:i/>
          <w:sz w:val="22"/>
          <w:szCs w:val="22"/>
        </w:rPr>
        <w:t>Specify where, why, when, for how many days, and the key personnel who will be in attendance.</w:t>
      </w:r>
      <w:r w:rsidR="00CF39E9" w:rsidRPr="00BD3139">
        <w:rPr>
          <w:i/>
          <w:sz w:val="22"/>
          <w:szCs w:val="22"/>
        </w:rPr>
        <w:t xml:space="preserve"> Use current U.S. </w:t>
      </w:r>
      <w:hyperlink r:id="rId8" w:history="1">
        <w:r w:rsidR="00CF39E9" w:rsidRPr="00BD3139">
          <w:rPr>
            <w:rStyle w:val="Hyperlink"/>
            <w:i/>
            <w:sz w:val="22"/>
            <w:szCs w:val="22"/>
          </w:rPr>
          <w:t>GSA rates</w:t>
        </w:r>
      </w:hyperlink>
      <w:r w:rsidR="00CF39E9" w:rsidRPr="00BD3139">
        <w:rPr>
          <w:i/>
          <w:sz w:val="22"/>
          <w:szCs w:val="22"/>
        </w:rPr>
        <w:t xml:space="preserve"> for reasonable lodging and per diem estimates by destination. Use </w:t>
      </w:r>
      <w:hyperlink r:id="rId9" w:history="1">
        <w:r w:rsidR="00CF39E9" w:rsidRPr="00BD3139">
          <w:rPr>
            <w:rStyle w:val="Hyperlink"/>
            <w:i/>
            <w:sz w:val="22"/>
            <w:szCs w:val="22"/>
          </w:rPr>
          <w:t>current IRS rates</w:t>
        </w:r>
      </w:hyperlink>
      <w:r w:rsidR="00CF39E9" w:rsidRPr="00BD3139">
        <w:rPr>
          <w:i/>
          <w:sz w:val="22"/>
          <w:szCs w:val="22"/>
        </w:rPr>
        <w:t xml:space="preserve"> for local travel or mileage.</w:t>
      </w:r>
    </w:p>
    <w:p w14:paraId="79DAA699" w14:textId="77777777" w:rsidR="005F184C" w:rsidRPr="00BD3139" w:rsidRDefault="005F184C" w:rsidP="003439D3">
      <w:pPr>
        <w:pStyle w:val="ListParagraph"/>
        <w:numPr>
          <w:ilvl w:val="0"/>
          <w:numId w:val="0"/>
        </w:numPr>
        <w:ind w:left="360"/>
        <w:rPr>
          <w:sz w:val="22"/>
          <w:szCs w:val="22"/>
        </w:rPr>
      </w:pPr>
    </w:p>
    <w:p w14:paraId="2A0EF3E8" w14:textId="6BBE0C26" w:rsidR="00B75E2E" w:rsidRPr="00BD3139" w:rsidRDefault="00B75E2E" w:rsidP="0078280D">
      <w:pPr>
        <w:pStyle w:val="ListParagraph"/>
        <w:ind w:left="360"/>
        <w:rPr>
          <w:b/>
          <w:sz w:val="22"/>
          <w:szCs w:val="22"/>
        </w:rPr>
      </w:pPr>
      <w:r w:rsidRPr="00BD3139">
        <w:rPr>
          <w:b/>
          <w:sz w:val="22"/>
          <w:szCs w:val="22"/>
        </w:rPr>
        <w:t xml:space="preserve">Participant Support </w:t>
      </w:r>
    </w:p>
    <w:p w14:paraId="6518D46B" w14:textId="1D7C2C1A" w:rsidR="00B75E2E" w:rsidRPr="0087520A" w:rsidRDefault="00407FCF" w:rsidP="0087520A">
      <w:pPr>
        <w:pStyle w:val="Default"/>
        <w:rPr>
          <w:rFonts w:ascii="Times New Roman" w:hAnsi="Times New Roman" w:cs="Times New Roman"/>
          <w:i/>
          <w:iCs/>
          <w:sz w:val="22"/>
          <w:szCs w:val="22"/>
        </w:rPr>
      </w:pPr>
      <w:r w:rsidRPr="0087520A">
        <w:rPr>
          <w:rFonts w:ascii="Times New Roman" w:hAnsi="Times New Roman" w:cs="Times New Roman"/>
          <w:bCs/>
          <w:i/>
          <w:iCs/>
          <w:sz w:val="22"/>
          <w:szCs w:val="22"/>
        </w:rPr>
        <w:t>This budget category refers to direct costs for items such as stipends or subsistence allowances, travel allowances, and registration fees paid to or on behalf of participants or trainees (but not employees) in connection with sponsored conferences or training projects.</w:t>
      </w:r>
      <w:r w:rsidR="0087520A">
        <w:rPr>
          <w:rFonts w:ascii="Times New Roman" w:hAnsi="Times New Roman" w:cs="Times New Roman"/>
          <w:bCs/>
          <w:i/>
          <w:iCs/>
          <w:sz w:val="22"/>
          <w:szCs w:val="22"/>
        </w:rPr>
        <w:t xml:space="preserve"> </w:t>
      </w:r>
      <w:r w:rsidRPr="0087520A">
        <w:rPr>
          <w:rFonts w:ascii="Times New Roman" w:hAnsi="Times New Roman" w:cs="Times New Roman"/>
          <w:i/>
          <w:iCs/>
          <w:sz w:val="22"/>
          <w:szCs w:val="22"/>
        </w:rPr>
        <w:t>The number of participants to be</w:t>
      </w:r>
      <w:r w:rsidR="0087520A">
        <w:rPr>
          <w:rFonts w:ascii="Times New Roman" w:hAnsi="Times New Roman" w:cs="Times New Roman"/>
          <w:i/>
          <w:iCs/>
          <w:sz w:val="22"/>
          <w:szCs w:val="22"/>
        </w:rPr>
        <w:t xml:space="preserve"> </w:t>
      </w:r>
      <w:r w:rsidRPr="0087520A">
        <w:rPr>
          <w:rFonts w:ascii="Times New Roman" w:hAnsi="Times New Roman" w:cs="Times New Roman"/>
          <w:i/>
          <w:iCs/>
          <w:sz w:val="22"/>
          <w:szCs w:val="22"/>
        </w:rPr>
        <w:t>supported must be</w:t>
      </w:r>
      <w:r w:rsidR="0087520A" w:rsidRPr="0087520A">
        <w:rPr>
          <w:rFonts w:ascii="Times New Roman" w:hAnsi="Times New Roman" w:cs="Times New Roman"/>
          <w:i/>
          <w:iCs/>
          <w:sz w:val="22"/>
          <w:szCs w:val="22"/>
        </w:rPr>
        <w:t xml:space="preserve"> included, and all </w:t>
      </w:r>
      <w:r w:rsidRPr="0087520A">
        <w:rPr>
          <w:rFonts w:ascii="Times New Roman" w:hAnsi="Times New Roman" w:cs="Times New Roman"/>
          <w:i/>
          <w:iCs/>
          <w:sz w:val="22"/>
          <w:szCs w:val="22"/>
        </w:rPr>
        <w:t>costs must be specified, itemized, and justified</w:t>
      </w:r>
      <w:r w:rsidR="0087520A">
        <w:rPr>
          <w:rFonts w:ascii="Times New Roman" w:hAnsi="Times New Roman" w:cs="Times New Roman"/>
          <w:i/>
          <w:iCs/>
          <w:sz w:val="22"/>
          <w:szCs w:val="22"/>
        </w:rPr>
        <w:t>.</w:t>
      </w:r>
    </w:p>
    <w:p w14:paraId="249E2775" w14:textId="77777777" w:rsidR="00B75E2E" w:rsidRPr="00BD3139" w:rsidRDefault="00B75E2E" w:rsidP="00B75E2E">
      <w:pPr>
        <w:pStyle w:val="ListParagraph"/>
        <w:numPr>
          <w:ilvl w:val="0"/>
          <w:numId w:val="0"/>
        </w:numPr>
        <w:ind w:left="360"/>
        <w:rPr>
          <w:b/>
          <w:sz w:val="22"/>
          <w:szCs w:val="22"/>
        </w:rPr>
      </w:pPr>
    </w:p>
    <w:p w14:paraId="47CA6CDB" w14:textId="77777777" w:rsidR="00C0324F" w:rsidRPr="00BD3139" w:rsidRDefault="00407FCF" w:rsidP="00C0324F">
      <w:pPr>
        <w:pStyle w:val="ListParagraph"/>
        <w:ind w:left="360"/>
        <w:rPr>
          <w:b/>
          <w:sz w:val="22"/>
          <w:szCs w:val="22"/>
        </w:rPr>
      </w:pPr>
      <w:r w:rsidRPr="00BD3139">
        <w:rPr>
          <w:b/>
          <w:sz w:val="22"/>
          <w:szCs w:val="22"/>
        </w:rPr>
        <w:t xml:space="preserve">Other </w:t>
      </w:r>
      <w:r w:rsidR="00C0324F" w:rsidRPr="00BD3139">
        <w:rPr>
          <w:b/>
          <w:sz w:val="22"/>
          <w:szCs w:val="22"/>
        </w:rPr>
        <w:t>Direct Costs</w:t>
      </w:r>
    </w:p>
    <w:p w14:paraId="54362228" w14:textId="1776E029" w:rsidR="002368FB" w:rsidRPr="00BD3139" w:rsidRDefault="005F184C" w:rsidP="00C0324F">
      <w:pPr>
        <w:pStyle w:val="ListParagraph"/>
        <w:numPr>
          <w:ilvl w:val="0"/>
          <w:numId w:val="9"/>
        </w:numPr>
        <w:rPr>
          <w:b/>
          <w:sz w:val="22"/>
          <w:szCs w:val="22"/>
        </w:rPr>
      </w:pPr>
      <w:r w:rsidRPr="00BD3139">
        <w:rPr>
          <w:b/>
          <w:sz w:val="22"/>
          <w:szCs w:val="22"/>
        </w:rPr>
        <w:t>Materials/Supplies</w:t>
      </w:r>
    </w:p>
    <w:p w14:paraId="3BC94BFF" w14:textId="33828A9F" w:rsidR="005F184C" w:rsidRPr="00BD3139" w:rsidRDefault="0087520A" w:rsidP="000660C6">
      <w:pPr>
        <w:pStyle w:val="ListParagraph"/>
        <w:numPr>
          <w:ilvl w:val="0"/>
          <w:numId w:val="0"/>
        </w:numPr>
        <w:rPr>
          <w:i/>
          <w:sz w:val="22"/>
          <w:szCs w:val="22"/>
        </w:rPr>
      </w:pPr>
      <w:r>
        <w:rPr>
          <w:i/>
          <w:sz w:val="22"/>
          <w:szCs w:val="22"/>
        </w:rPr>
        <w:tab/>
      </w:r>
      <w:r w:rsidR="009A520B">
        <w:rPr>
          <w:i/>
          <w:sz w:val="22"/>
          <w:szCs w:val="22"/>
        </w:rPr>
        <w:t>Describe</w:t>
      </w:r>
      <w:r w:rsidR="00FB5797" w:rsidRPr="00FB5797">
        <w:rPr>
          <w:i/>
          <w:sz w:val="22"/>
          <w:szCs w:val="22"/>
        </w:rPr>
        <w:t xml:space="preserve"> the general types of expendable materials and supplies required</w:t>
      </w:r>
      <w:r w:rsidR="009A520B">
        <w:rPr>
          <w:i/>
          <w:sz w:val="22"/>
          <w:szCs w:val="22"/>
        </w:rPr>
        <w:t xml:space="preserve"> a</w:t>
      </w:r>
      <w:r w:rsidR="000660C6" w:rsidRPr="00BD3139">
        <w:rPr>
          <w:i/>
          <w:sz w:val="22"/>
          <w:szCs w:val="22"/>
        </w:rPr>
        <w:t>nd estimated costs.</w:t>
      </w:r>
    </w:p>
    <w:p w14:paraId="34754BF5" w14:textId="50D9434E" w:rsidR="005F184C" w:rsidRPr="00BD3139" w:rsidRDefault="007C7F34" w:rsidP="007C7F34">
      <w:pPr>
        <w:autoSpaceDE w:val="0"/>
        <w:autoSpaceDN w:val="0"/>
        <w:adjustRightInd w:val="0"/>
        <w:ind w:left="360"/>
        <w:rPr>
          <w:b/>
          <w:i/>
          <w:sz w:val="22"/>
          <w:szCs w:val="22"/>
        </w:rPr>
      </w:pPr>
      <w:r w:rsidRPr="00BD3139">
        <w:rPr>
          <w:rFonts w:eastAsia="Calibri"/>
          <w:i/>
          <w:sz w:val="22"/>
          <w:szCs w:val="22"/>
        </w:rPr>
        <w:t>Note: A computing device is normally considered a supply if the acquisition cost is less than $5,000, regardless of the length of its useful life.</w:t>
      </w:r>
    </w:p>
    <w:p w14:paraId="12EFB313" w14:textId="0E3C50C8" w:rsidR="005F184C" w:rsidRPr="00BD3139" w:rsidRDefault="005F184C" w:rsidP="005F184C">
      <w:pPr>
        <w:pStyle w:val="ListParagraph"/>
        <w:numPr>
          <w:ilvl w:val="0"/>
          <w:numId w:val="0"/>
        </w:numPr>
        <w:ind w:left="360"/>
        <w:rPr>
          <w:b/>
          <w:sz w:val="22"/>
          <w:szCs w:val="22"/>
        </w:rPr>
      </w:pPr>
    </w:p>
    <w:p w14:paraId="55147C46" w14:textId="0DF07448" w:rsidR="006F7997" w:rsidRPr="00BD3139" w:rsidRDefault="006F7997" w:rsidP="00D300EF">
      <w:pPr>
        <w:pStyle w:val="ListParagraph"/>
        <w:numPr>
          <w:ilvl w:val="0"/>
          <w:numId w:val="9"/>
        </w:numPr>
        <w:rPr>
          <w:b/>
          <w:sz w:val="22"/>
          <w:szCs w:val="22"/>
        </w:rPr>
      </w:pPr>
      <w:r w:rsidRPr="00BD3139">
        <w:rPr>
          <w:b/>
          <w:sz w:val="22"/>
          <w:szCs w:val="22"/>
        </w:rPr>
        <w:t>Publication/Documentation/Dissemination</w:t>
      </w:r>
    </w:p>
    <w:p w14:paraId="5CA9A261" w14:textId="7B9006F7" w:rsidR="006F7997" w:rsidRPr="002F7C20" w:rsidRDefault="00222A48" w:rsidP="006F7997">
      <w:pPr>
        <w:ind w:left="360"/>
        <w:rPr>
          <w:bCs/>
          <w:i/>
          <w:iCs/>
          <w:sz w:val="22"/>
          <w:szCs w:val="22"/>
        </w:rPr>
      </w:pPr>
      <w:r w:rsidRPr="002F7C20">
        <w:rPr>
          <w:bCs/>
          <w:i/>
          <w:iCs/>
          <w:sz w:val="22"/>
          <w:szCs w:val="22"/>
        </w:rPr>
        <w:lastRenderedPageBreak/>
        <w:t>The proposal budget may request funds for the costs of documenting, preparing, publishing or otherwise making available to others the findings and products of the work to be conducted under the award. This generally includes the following types of activities: reports, reprints, page charges or other journal costs (except costs for prior or early publication); necessary illustrations; cleanup, documentation, storage and indexing of data and databases; development, documentation and debugging of software; storage, preservation, documentation, indexing, etc., of physical specimens, collections, or fabricated items</w:t>
      </w:r>
      <w:r w:rsidR="00905DDA">
        <w:rPr>
          <w:bCs/>
          <w:i/>
          <w:iCs/>
          <w:sz w:val="22"/>
          <w:szCs w:val="22"/>
        </w:rPr>
        <w:t xml:space="preserve">; and </w:t>
      </w:r>
      <w:r w:rsidRPr="002F7C20">
        <w:rPr>
          <w:bCs/>
          <w:i/>
          <w:iCs/>
          <w:sz w:val="22"/>
          <w:szCs w:val="22"/>
        </w:rPr>
        <w:t>data deposit and data curation costs.</w:t>
      </w:r>
    </w:p>
    <w:p w14:paraId="6C8F269E" w14:textId="77777777" w:rsidR="00222A48" w:rsidRPr="00BD3139" w:rsidRDefault="00222A48" w:rsidP="006F7997">
      <w:pPr>
        <w:ind w:left="360"/>
        <w:rPr>
          <w:b/>
          <w:sz w:val="22"/>
          <w:szCs w:val="22"/>
        </w:rPr>
      </w:pPr>
    </w:p>
    <w:p w14:paraId="34B1F790" w14:textId="082380E5" w:rsidR="00D300EF" w:rsidRPr="00BD3139" w:rsidRDefault="00D300EF" w:rsidP="00D300EF">
      <w:pPr>
        <w:pStyle w:val="ListParagraph"/>
        <w:numPr>
          <w:ilvl w:val="0"/>
          <w:numId w:val="9"/>
        </w:numPr>
        <w:rPr>
          <w:b/>
          <w:sz w:val="22"/>
          <w:szCs w:val="22"/>
        </w:rPr>
      </w:pPr>
      <w:r w:rsidRPr="00BD3139">
        <w:rPr>
          <w:b/>
          <w:sz w:val="22"/>
          <w:szCs w:val="22"/>
        </w:rPr>
        <w:t>Consultant Services</w:t>
      </w:r>
    </w:p>
    <w:p w14:paraId="354C7C5B" w14:textId="77777777" w:rsidR="00905DDA" w:rsidRPr="00C20B50" w:rsidRDefault="00905DDA" w:rsidP="00905DDA">
      <w:pPr>
        <w:ind w:left="360"/>
        <w:rPr>
          <w:bCs/>
          <w:i/>
          <w:iCs/>
          <w:sz w:val="22"/>
          <w:szCs w:val="22"/>
        </w:rPr>
      </w:pPr>
      <w:r w:rsidRPr="00C20B50">
        <w:rPr>
          <w:bCs/>
          <w:i/>
          <w:iCs/>
          <w:sz w:val="22"/>
          <w:szCs w:val="22"/>
        </w:rPr>
        <w:t>Professional and consultant services are services rendered by individuals who are members of a particular profession or possess a special skill, and who are not officers or employees of Rollins. Anticipated services must be justified and information furnished on each individual’s expertise, primary organizational affiliation, normal daily compensation rate, and number of days of expected service. Consultants’ travel costs, including subsistence, may be included.</w:t>
      </w:r>
    </w:p>
    <w:p w14:paraId="74691EA5" w14:textId="0452B718" w:rsidR="00222A48" w:rsidRPr="00BD3139" w:rsidRDefault="00222A48" w:rsidP="00222A48">
      <w:pPr>
        <w:rPr>
          <w:b/>
          <w:sz w:val="22"/>
          <w:szCs w:val="22"/>
        </w:rPr>
      </w:pPr>
    </w:p>
    <w:p w14:paraId="7446D37B" w14:textId="3D630BED" w:rsidR="00222A48" w:rsidRPr="00BD3139" w:rsidRDefault="00222A48" w:rsidP="00222A48">
      <w:pPr>
        <w:pStyle w:val="ListParagraph"/>
        <w:numPr>
          <w:ilvl w:val="0"/>
          <w:numId w:val="9"/>
        </w:numPr>
        <w:rPr>
          <w:b/>
          <w:sz w:val="22"/>
          <w:szCs w:val="22"/>
        </w:rPr>
      </w:pPr>
      <w:r w:rsidRPr="00BD3139">
        <w:rPr>
          <w:b/>
          <w:sz w:val="22"/>
          <w:szCs w:val="22"/>
        </w:rPr>
        <w:t>Computer Services</w:t>
      </w:r>
    </w:p>
    <w:p w14:paraId="1BCD66C1" w14:textId="555D9433" w:rsidR="00222A48" w:rsidRDefault="001A3006" w:rsidP="00C20B50">
      <w:pPr>
        <w:ind w:left="360"/>
        <w:rPr>
          <w:bCs/>
          <w:i/>
          <w:iCs/>
          <w:sz w:val="22"/>
          <w:szCs w:val="22"/>
        </w:rPr>
      </w:pPr>
      <w:r w:rsidRPr="00C20B50">
        <w:rPr>
          <w:bCs/>
          <w:i/>
          <w:iCs/>
          <w:sz w:val="22"/>
          <w:szCs w:val="22"/>
        </w:rPr>
        <w:t>The cost of computer services, including computer-based retrieval of scientific, technical, and educational information, may be requested only where it is institutional policy to charge such costs as direct charges. The proposal budget also may request costs for leasing of computer equipment.</w:t>
      </w:r>
    </w:p>
    <w:p w14:paraId="471483DD" w14:textId="77777777" w:rsidR="00183A8F" w:rsidRPr="00C20B50" w:rsidRDefault="00183A8F" w:rsidP="00C20B50">
      <w:pPr>
        <w:ind w:left="360"/>
        <w:rPr>
          <w:bCs/>
          <w:i/>
          <w:iCs/>
          <w:sz w:val="22"/>
          <w:szCs w:val="22"/>
        </w:rPr>
      </w:pPr>
    </w:p>
    <w:p w14:paraId="10B594CE" w14:textId="4390F3FB" w:rsidR="005F184C" w:rsidRPr="00BD3139" w:rsidRDefault="005F184C" w:rsidP="00222A48">
      <w:pPr>
        <w:pStyle w:val="ListParagraph"/>
        <w:numPr>
          <w:ilvl w:val="0"/>
          <w:numId w:val="9"/>
        </w:numPr>
        <w:rPr>
          <w:b/>
          <w:sz w:val="22"/>
          <w:szCs w:val="22"/>
        </w:rPr>
      </w:pPr>
      <w:r w:rsidRPr="00BD3139">
        <w:rPr>
          <w:b/>
          <w:sz w:val="22"/>
          <w:szCs w:val="22"/>
        </w:rPr>
        <w:t>Sub</w:t>
      </w:r>
      <w:r w:rsidR="00030087" w:rsidRPr="00BD3139">
        <w:rPr>
          <w:b/>
          <w:sz w:val="22"/>
          <w:szCs w:val="22"/>
        </w:rPr>
        <w:t>award</w:t>
      </w:r>
      <w:r w:rsidRPr="00BD3139">
        <w:rPr>
          <w:b/>
          <w:sz w:val="22"/>
          <w:szCs w:val="22"/>
        </w:rPr>
        <w:t>s</w:t>
      </w:r>
    </w:p>
    <w:p w14:paraId="04932D3A" w14:textId="4F8E4610" w:rsidR="007D0F2D" w:rsidRDefault="00030087" w:rsidP="002A012A">
      <w:pPr>
        <w:pStyle w:val="ListParagraph"/>
        <w:numPr>
          <w:ilvl w:val="0"/>
          <w:numId w:val="0"/>
        </w:numPr>
        <w:ind w:left="360"/>
        <w:rPr>
          <w:i/>
          <w:sz w:val="22"/>
          <w:szCs w:val="22"/>
        </w:rPr>
      </w:pPr>
      <w:r w:rsidRPr="00BD3139">
        <w:rPr>
          <w:i/>
          <w:sz w:val="22"/>
          <w:szCs w:val="22"/>
        </w:rPr>
        <w:t xml:space="preserve">A subaward is issued when a </w:t>
      </w:r>
      <w:r w:rsidR="005F75D3" w:rsidRPr="00BD3139">
        <w:rPr>
          <w:i/>
          <w:sz w:val="22"/>
          <w:szCs w:val="22"/>
        </w:rPr>
        <w:t>third-party</w:t>
      </w:r>
      <w:r w:rsidRPr="00BD3139">
        <w:rPr>
          <w:i/>
          <w:sz w:val="22"/>
          <w:szCs w:val="22"/>
        </w:rPr>
        <w:t xml:space="preserve"> organization is needed to perform a specific scientific or programmatic portion of a Rollins sponsored project. </w:t>
      </w:r>
      <w:r w:rsidR="007D0F2D" w:rsidRPr="007D0F2D">
        <w:rPr>
          <w:i/>
          <w:sz w:val="22"/>
          <w:szCs w:val="22"/>
        </w:rPr>
        <w:t>A separate budget and a budget justification of no more than five pages, must be provided</w:t>
      </w:r>
      <w:r w:rsidR="009107A5">
        <w:rPr>
          <w:i/>
          <w:sz w:val="22"/>
          <w:szCs w:val="22"/>
        </w:rPr>
        <w:t>. Additional subrecipient forms are required prior to submission. Contact OGSR for details.</w:t>
      </w:r>
    </w:p>
    <w:p w14:paraId="501362E3" w14:textId="12C58F4F" w:rsidR="001A3006" w:rsidRPr="00BD3139" w:rsidRDefault="001A3006" w:rsidP="005F184C">
      <w:pPr>
        <w:pStyle w:val="ListParagraph"/>
        <w:numPr>
          <w:ilvl w:val="0"/>
          <w:numId w:val="0"/>
        </w:numPr>
        <w:rPr>
          <w:b/>
          <w:sz w:val="22"/>
          <w:szCs w:val="22"/>
        </w:rPr>
      </w:pPr>
    </w:p>
    <w:p w14:paraId="4879D859" w14:textId="2BB14CE4" w:rsidR="005F184C" w:rsidRPr="00BD3139" w:rsidRDefault="00C448BE" w:rsidP="00C448BE">
      <w:pPr>
        <w:pStyle w:val="ListParagraph"/>
        <w:numPr>
          <w:ilvl w:val="0"/>
          <w:numId w:val="9"/>
        </w:numPr>
        <w:rPr>
          <w:b/>
          <w:sz w:val="22"/>
          <w:szCs w:val="22"/>
        </w:rPr>
      </w:pPr>
      <w:r w:rsidRPr="00BD3139">
        <w:rPr>
          <w:b/>
          <w:sz w:val="22"/>
          <w:szCs w:val="22"/>
        </w:rPr>
        <w:t>Other</w:t>
      </w:r>
    </w:p>
    <w:p w14:paraId="6F345A96" w14:textId="658FACD9" w:rsidR="00510ECF" w:rsidRPr="007D0F2D" w:rsidRDefault="004969B6" w:rsidP="007D0F2D">
      <w:pPr>
        <w:ind w:left="360"/>
        <w:jc w:val="both"/>
        <w:rPr>
          <w:i/>
          <w:sz w:val="22"/>
          <w:szCs w:val="22"/>
        </w:rPr>
      </w:pPr>
      <w:r w:rsidRPr="00BD3139">
        <w:rPr>
          <w:i/>
          <w:sz w:val="22"/>
          <w:szCs w:val="22"/>
        </w:rPr>
        <w:t xml:space="preserve">Describe </w:t>
      </w:r>
      <w:r w:rsidR="007D0F2D">
        <w:rPr>
          <w:i/>
          <w:sz w:val="22"/>
          <w:szCs w:val="22"/>
        </w:rPr>
        <w:t xml:space="preserve">in detail </w:t>
      </w:r>
      <w:r w:rsidRPr="00BD3139">
        <w:rPr>
          <w:i/>
          <w:sz w:val="22"/>
          <w:szCs w:val="22"/>
        </w:rPr>
        <w:t>any additional or miscellaneous costs not include</w:t>
      </w:r>
      <w:r w:rsidRPr="007D0F2D">
        <w:rPr>
          <w:i/>
          <w:sz w:val="22"/>
          <w:szCs w:val="22"/>
        </w:rPr>
        <w:t>d above.</w:t>
      </w:r>
      <w:r w:rsidR="007D0F2D" w:rsidRPr="007D0F2D">
        <w:rPr>
          <w:i/>
          <w:sz w:val="22"/>
          <w:szCs w:val="22"/>
        </w:rPr>
        <w:t xml:space="preserve"> </w:t>
      </w:r>
      <w:r w:rsidR="00E85A30" w:rsidRPr="007D0F2D">
        <w:rPr>
          <w:i/>
          <w:sz w:val="22"/>
          <w:szCs w:val="22"/>
        </w:rPr>
        <w:t>Examples include</w:t>
      </w:r>
      <w:r w:rsidR="007D0F2D" w:rsidRPr="007D0F2D">
        <w:rPr>
          <w:i/>
          <w:sz w:val="22"/>
          <w:szCs w:val="22"/>
        </w:rPr>
        <w:t xml:space="preserve"> c</w:t>
      </w:r>
      <w:r w:rsidR="00E85A30" w:rsidRPr="007D0F2D">
        <w:rPr>
          <w:i/>
          <w:sz w:val="22"/>
          <w:szCs w:val="22"/>
        </w:rPr>
        <w:t>ontracts for the purpose of obtaining goods and services</w:t>
      </w:r>
      <w:r w:rsidR="007D0F2D" w:rsidRPr="007D0F2D">
        <w:rPr>
          <w:i/>
          <w:sz w:val="22"/>
          <w:szCs w:val="22"/>
        </w:rPr>
        <w:t xml:space="preserve"> and i</w:t>
      </w:r>
      <w:r w:rsidR="00E85A30" w:rsidRPr="007D0F2D">
        <w:rPr>
          <w:i/>
          <w:sz w:val="22"/>
          <w:szCs w:val="22"/>
        </w:rPr>
        <w:t>ncentive payments</w:t>
      </w:r>
      <w:r w:rsidR="007D0F2D" w:rsidRPr="007D0F2D">
        <w:rPr>
          <w:i/>
          <w:sz w:val="22"/>
          <w:szCs w:val="22"/>
        </w:rPr>
        <w:t xml:space="preserve"> (i.e., </w:t>
      </w:r>
      <w:r w:rsidR="00E85A30" w:rsidRPr="007D0F2D">
        <w:rPr>
          <w:i/>
          <w:sz w:val="22"/>
          <w:szCs w:val="22"/>
        </w:rPr>
        <w:t>payments to human subjects or incentives to promote completion of a surve</w:t>
      </w:r>
      <w:r w:rsidR="007D0F2D" w:rsidRPr="007D0F2D">
        <w:rPr>
          <w:i/>
          <w:sz w:val="22"/>
          <w:szCs w:val="22"/>
        </w:rPr>
        <w:t>y).</w:t>
      </w:r>
    </w:p>
    <w:p w14:paraId="4078D367" w14:textId="77777777" w:rsidR="00E85A30" w:rsidRPr="00BD3139" w:rsidRDefault="00E85A30" w:rsidP="00E85A30">
      <w:pPr>
        <w:jc w:val="both"/>
        <w:rPr>
          <w:sz w:val="22"/>
          <w:szCs w:val="22"/>
        </w:rPr>
      </w:pPr>
    </w:p>
    <w:p w14:paraId="46841012" w14:textId="77777777" w:rsidR="002368FB" w:rsidRPr="00BD3139" w:rsidRDefault="003439D3" w:rsidP="0078280D">
      <w:pPr>
        <w:pStyle w:val="ListParagraph"/>
        <w:ind w:left="360"/>
        <w:rPr>
          <w:b/>
          <w:sz w:val="22"/>
          <w:szCs w:val="22"/>
        </w:rPr>
      </w:pPr>
      <w:r w:rsidRPr="00BD3139">
        <w:rPr>
          <w:b/>
          <w:sz w:val="22"/>
          <w:szCs w:val="22"/>
        </w:rPr>
        <w:t xml:space="preserve">Total Direct Costs: </w:t>
      </w:r>
      <w:r w:rsidR="002368FB" w:rsidRPr="00BD3139">
        <w:rPr>
          <w:b/>
          <w:sz w:val="22"/>
          <w:szCs w:val="22"/>
        </w:rPr>
        <w:t>$</w:t>
      </w:r>
    </w:p>
    <w:p w14:paraId="53696BD0" w14:textId="642BC46D" w:rsidR="004969B6" w:rsidRPr="00BD3139" w:rsidRDefault="004969B6" w:rsidP="004969B6">
      <w:pPr>
        <w:rPr>
          <w:i/>
          <w:sz w:val="22"/>
          <w:szCs w:val="22"/>
        </w:rPr>
      </w:pPr>
      <w:r w:rsidRPr="00BD3139">
        <w:rPr>
          <w:i/>
          <w:sz w:val="22"/>
          <w:szCs w:val="22"/>
        </w:rPr>
        <w:t xml:space="preserve">Include sum of all </w:t>
      </w:r>
      <w:r w:rsidR="00030087" w:rsidRPr="00BD3139">
        <w:rPr>
          <w:i/>
          <w:sz w:val="22"/>
          <w:szCs w:val="22"/>
        </w:rPr>
        <w:t>items</w:t>
      </w:r>
      <w:r w:rsidRPr="00BD3139">
        <w:rPr>
          <w:i/>
          <w:sz w:val="22"/>
          <w:szCs w:val="22"/>
        </w:rPr>
        <w:t xml:space="preserve"> A-</w:t>
      </w:r>
      <w:r w:rsidR="00E85A30" w:rsidRPr="00BD3139">
        <w:rPr>
          <w:i/>
          <w:sz w:val="22"/>
          <w:szCs w:val="22"/>
        </w:rPr>
        <w:t>G</w:t>
      </w:r>
      <w:r w:rsidRPr="00BD3139">
        <w:rPr>
          <w:i/>
          <w:sz w:val="22"/>
          <w:szCs w:val="22"/>
        </w:rPr>
        <w:t>, above.</w:t>
      </w:r>
    </w:p>
    <w:p w14:paraId="0E59EC46" w14:textId="77777777" w:rsidR="002368FB" w:rsidRPr="00BD3139" w:rsidRDefault="002368FB" w:rsidP="0078280D">
      <w:pPr>
        <w:pStyle w:val="ListParagraph"/>
        <w:numPr>
          <w:ilvl w:val="0"/>
          <w:numId w:val="0"/>
        </w:numPr>
        <w:ind w:left="360" w:hanging="360"/>
        <w:rPr>
          <w:sz w:val="22"/>
          <w:szCs w:val="22"/>
        </w:rPr>
      </w:pPr>
    </w:p>
    <w:p w14:paraId="2AC9E783" w14:textId="77777777" w:rsidR="002368FB" w:rsidRPr="00BD3139" w:rsidRDefault="005F184C" w:rsidP="0078280D">
      <w:pPr>
        <w:pStyle w:val="ListParagraph"/>
        <w:ind w:left="360"/>
        <w:rPr>
          <w:b/>
          <w:sz w:val="22"/>
          <w:szCs w:val="22"/>
        </w:rPr>
      </w:pPr>
      <w:r w:rsidRPr="00BD3139">
        <w:rPr>
          <w:b/>
          <w:sz w:val="22"/>
          <w:szCs w:val="22"/>
        </w:rPr>
        <w:t>Indirect Costs</w:t>
      </w:r>
    </w:p>
    <w:p w14:paraId="47910EE7" w14:textId="084484A5" w:rsidR="00C84786" w:rsidRPr="00BD3139" w:rsidRDefault="00030087" w:rsidP="00CF39E9">
      <w:pPr>
        <w:rPr>
          <w:i/>
          <w:sz w:val="22"/>
          <w:szCs w:val="22"/>
        </w:rPr>
      </w:pPr>
      <w:r w:rsidRPr="00BD3139">
        <w:rPr>
          <w:i/>
          <w:sz w:val="22"/>
          <w:szCs w:val="22"/>
        </w:rPr>
        <w:t>Unless otherwise specified by the funding agency, f</w:t>
      </w:r>
      <w:r w:rsidR="00CF39E9" w:rsidRPr="00BD3139">
        <w:rPr>
          <w:i/>
          <w:sz w:val="22"/>
          <w:szCs w:val="22"/>
        </w:rPr>
        <w:t>or all federal proposals, indirect costs are included at the current provisional federally negotiated rate of 55.0% (for on-campus activities) on direct salaries and wages only (items A and B, above). This rate was approved through the U.S. Department of Health &amp; Human Services on 2/10/17 and is currently in effect (after 5/31/21, provisional). Contact at cognizant agency: Steven Zuraf, (301) 492-4858, szuraf@psc.gov.</w:t>
      </w:r>
    </w:p>
    <w:p w14:paraId="74AF2C94" w14:textId="77777777" w:rsidR="00CF39E9" w:rsidRPr="00BD3139" w:rsidRDefault="00CF39E9" w:rsidP="00CF39E9">
      <w:pPr>
        <w:rPr>
          <w:b/>
          <w:sz w:val="22"/>
          <w:szCs w:val="22"/>
        </w:rPr>
      </w:pPr>
    </w:p>
    <w:p w14:paraId="22F58D89" w14:textId="67E50CC5" w:rsidR="00143263" w:rsidRPr="007D0F2D" w:rsidRDefault="000660C6" w:rsidP="007D0F2D">
      <w:pPr>
        <w:pStyle w:val="ListParagraph"/>
        <w:ind w:left="360"/>
        <w:rPr>
          <w:b/>
          <w:bCs/>
          <w:sz w:val="22"/>
          <w:szCs w:val="22"/>
        </w:rPr>
      </w:pPr>
      <w:r w:rsidRPr="007D0F2D">
        <w:rPr>
          <w:b/>
          <w:bCs/>
          <w:sz w:val="22"/>
          <w:szCs w:val="22"/>
        </w:rPr>
        <w:t>Total Direct and Indirect Costs: $</w:t>
      </w:r>
    </w:p>
    <w:p w14:paraId="334C711C" w14:textId="4AD68F35" w:rsidR="00903DC7" w:rsidRPr="00BD3139" w:rsidRDefault="00030087" w:rsidP="00510ECF">
      <w:pPr>
        <w:pStyle w:val="ListParagraph"/>
        <w:numPr>
          <w:ilvl w:val="0"/>
          <w:numId w:val="0"/>
        </w:numPr>
        <w:rPr>
          <w:i/>
          <w:sz w:val="22"/>
          <w:szCs w:val="22"/>
        </w:rPr>
      </w:pPr>
      <w:r w:rsidRPr="00BD3139">
        <w:rPr>
          <w:i/>
          <w:sz w:val="22"/>
          <w:szCs w:val="22"/>
        </w:rPr>
        <w:t xml:space="preserve">Include sum of items </w:t>
      </w:r>
      <w:r w:rsidR="00903DC7" w:rsidRPr="00BD3139">
        <w:rPr>
          <w:i/>
          <w:sz w:val="22"/>
          <w:szCs w:val="22"/>
        </w:rPr>
        <w:t>H</w:t>
      </w:r>
      <w:r w:rsidRPr="00BD3139">
        <w:rPr>
          <w:i/>
          <w:sz w:val="22"/>
          <w:szCs w:val="22"/>
        </w:rPr>
        <w:t xml:space="preserve"> and </w:t>
      </w:r>
      <w:r w:rsidR="00903DC7" w:rsidRPr="00BD3139">
        <w:rPr>
          <w:i/>
          <w:sz w:val="22"/>
          <w:szCs w:val="22"/>
        </w:rPr>
        <w:t>I</w:t>
      </w:r>
      <w:r w:rsidRPr="00BD3139">
        <w:rPr>
          <w:i/>
          <w:sz w:val="22"/>
          <w:szCs w:val="22"/>
        </w:rPr>
        <w:t>, above.</w:t>
      </w:r>
    </w:p>
    <w:sectPr w:rsidR="00903DC7" w:rsidRPr="00BD3139" w:rsidSect="0014326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40F4" w14:textId="77777777" w:rsidR="00196E29" w:rsidRDefault="00196E29" w:rsidP="00787E46">
      <w:r>
        <w:separator/>
      </w:r>
    </w:p>
  </w:endnote>
  <w:endnote w:type="continuationSeparator" w:id="0">
    <w:p w14:paraId="404B8405" w14:textId="77777777" w:rsidR="00196E29" w:rsidRDefault="00196E29" w:rsidP="0078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4F1E" w14:textId="77777777" w:rsidR="00196E29" w:rsidRDefault="00196E29" w:rsidP="00787E46">
      <w:r>
        <w:separator/>
      </w:r>
    </w:p>
  </w:footnote>
  <w:footnote w:type="continuationSeparator" w:id="0">
    <w:p w14:paraId="5ED6FF32" w14:textId="77777777" w:rsidR="00196E29" w:rsidRDefault="00196E29" w:rsidP="0078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219F"/>
    <w:multiLevelType w:val="hybridMultilevel"/>
    <w:tmpl w:val="6CAA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C7B38"/>
    <w:multiLevelType w:val="hybridMultilevel"/>
    <w:tmpl w:val="C8D8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56E54"/>
    <w:multiLevelType w:val="hybridMultilevel"/>
    <w:tmpl w:val="7D42D6F0"/>
    <w:lvl w:ilvl="0" w:tplc="5AF4A06A">
      <w:start w:val="1"/>
      <w:numFmt w:val="upp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6535B"/>
    <w:multiLevelType w:val="hybridMultilevel"/>
    <w:tmpl w:val="432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A6A1D"/>
    <w:multiLevelType w:val="hybridMultilevel"/>
    <w:tmpl w:val="115C6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12E09"/>
    <w:multiLevelType w:val="hybridMultilevel"/>
    <w:tmpl w:val="3A9CF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138320">
    <w:abstractNumId w:val="5"/>
  </w:num>
  <w:num w:numId="2" w16cid:durableId="1364866114">
    <w:abstractNumId w:val="4"/>
  </w:num>
  <w:num w:numId="3" w16cid:durableId="1589920411">
    <w:abstractNumId w:val="2"/>
  </w:num>
  <w:num w:numId="4" w16cid:durableId="152767359">
    <w:abstractNumId w:val="2"/>
    <w:lvlOverride w:ilvl="0">
      <w:startOverride w:val="1"/>
    </w:lvlOverride>
  </w:num>
  <w:num w:numId="5" w16cid:durableId="1915361052">
    <w:abstractNumId w:val="2"/>
    <w:lvlOverride w:ilvl="0">
      <w:startOverride w:val="1"/>
    </w:lvlOverride>
  </w:num>
  <w:num w:numId="6" w16cid:durableId="1077895056">
    <w:abstractNumId w:val="3"/>
  </w:num>
  <w:num w:numId="7" w16cid:durableId="2124768178">
    <w:abstractNumId w:val="2"/>
    <w:lvlOverride w:ilvl="0">
      <w:startOverride w:val="1"/>
    </w:lvlOverride>
  </w:num>
  <w:num w:numId="8" w16cid:durableId="814683074">
    <w:abstractNumId w:val="2"/>
    <w:lvlOverride w:ilvl="0">
      <w:startOverride w:val="1"/>
    </w:lvlOverride>
  </w:num>
  <w:num w:numId="9" w16cid:durableId="138810323">
    <w:abstractNumId w:val="0"/>
  </w:num>
  <w:num w:numId="10" w16cid:durableId="29040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8FB"/>
    <w:rsid w:val="00000FDC"/>
    <w:rsid w:val="00030087"/>
    <w:rsid w:val="00061F65"/>
    <w:rsid w:val="000660C6"/>
    <w:rsid w:val="000D7CF8"/>
    <w:rsid w:val="000E624B"/>
    <w:rsid w:val="00123B4C"/>
    <w:rsid w:val="00143263"/>
    <w:rsid w:val="00144565"/>
    <w:rsid w:val="00151C2F"/>
    <w:rsid w:val="001648F3"/>
    <w:rsid w:val="00183220"/>
    <w:rsid w:val="00183A8F"/>
    <w:rsid w:val="00196E29"/>
    <w:rsid w:val="001A3006"/>
    <w:rsid w:val="001F3BF9"/>
    <w:rsid w:val="00216B71"/>
    <w:rsid w:val="00222A48"/>
    <w:rsid w:val="00226230"/>
    <w:rsid w:val="002307FC"/>
    <w:rsid w:val="002368FB"/>
    <w:rsid w:val="0025619C"/>
    <w:rsid w:val="002A012A"/>
    <w:rsid w:val="002D14FC"/>
    <w:rsid w:val="002F1976"/>
    <w:rsid w:val="002F7C20"/>
    <w:rsid w:val="00321532"/>
    <w:rsid w:val="003439D3"/>
    <w:rsid w:val="00366D58"/>
    <w:rsid w:val="00385C2D"/>
    <w:rsid w:val="003A187E"/>
    <w:rsid w:val="0040720A"/>
    <w:rsid w:val="00407FCF"/>
    <w:rsid w:val="0043216A"/>
    <w:rsid w:val="0047665C"/>
    <w:rsid w:val="004969B6"/>
    <w:rsid w:val="00510ECF"/>
    <w:rsid w:val="00595644"/>
    <w:rsid w:val="005D595B"/>
    <w:rsid w:val="005F184C"/>
    <w:rsid w:val="005F75D3"/>
    <w:rsid w:val="00604B80"/>
    <w:rsid w:val="00616447"/>
    <w:rsid w:val="0063420F"/>
    <w:rsid w:val="00653E9B"/>
    <w:rsid w:val="00662397"/>
    <w:rsid w:val="00696A72"/>
    <w:rsid w:val="006B672A"/>
    <w:rsid w:val="006E474E"/>
    <w:rsid w:val="006E6A29"/>
    <w:rsid w:val="006F7997"/>
    <w:rsid w:val="0078280D"/>
    <w:rsid w:val="00787E46"/>
    <w:rsid w:val="007B662B"/>
    <w:rsid w:val="007C7F34"/>
    <w:rsid w:val="007D08D3"/>
    <w:rsid w:val="007D0F2D"/>
    <w:rsid w:val="007D5D0B"/>
    <w:rsid w:val="008438DC"/>
    <w:rsid w:val="0087520A"/>
    <w:rsid w:val="008762D0"/>
    <w:rsid w:val="008A50E8"/>
    <w:rsid w:val="008A6F87"/>
    <w:rsid w:val="008F1B35"/>
    <w:rsid w:val="00903DC7"/>
    <w:rsid w:val="00905DDA"/>
    <w:rsid w:val="009107A5"/>
    <w:rsid w:val="00912303"/>
    <w:rsid w:val="009252D7"/>
    <w:rsid w:val="009A4C13"/>
    <w:rsid w:val="009A520B"/>
    <w:rsid w:val="009E1A3E"/>
    <w:rsid w:val="00AB001E"/>
    <w:rsid w:val="00B207D8"/>
    <w:rsid w:val="00B21A52"/>
    <w:rsid w:val="00B526A9"/>
    <w:rsid w:val="00B723BD"/>
    <w:rsid w:val="00B75E2E"/>
    <w:rsid w:val="00B86561"/>
    <w:rsid w:val="00B91184"/>
    <w:rsid w:val="00BB7EDB"/>
    <w:rsid w:val="00BC0A0D"/>
    <w:rsid w:val="00BD3139"/>
    <w:rsid w:val="00C0324F"/>
    <w:rsid w:val="00C20B50"/>
    <w:rsid w:val="00C448BE"/>
    <w:rsid w:val="00C84786"/>
    <w:rsid w:val="00CF39E9"/>
    <w:rsid w:val="00CF563F"/>
    <w:rsid w:val="00D06B27"/>
    <w:rsid w:val="00D16DC3"/>
    <w:rsid w:val="00D300EF"/>
    <w:rsid w:val="00DF12EC"/>
    <w:rsid w:val="00DF2BF1"/>
    <w:rsid w:val="00E228C8"/>
    <w:rsid w:val="00E3201A"/>
    <w:rsid w:val="00E3703F"/>
    <w:rsid w:val="00E85A30"/>
    <w:rsid w:val="00FB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03DCB"/>
  <w15:docId w15:val="{E6CD09E0-7C03-4162-A720-5D62BF36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F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A2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E6A29"/>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78280D"/>
    <w:pPr>
      <w:numPr>
        <w:numId w:val="3"/>
      </w:numPr>
      <w:tabs>
        <w:tab w:val="left" w:pos="360"/>
        <w:tab w:val="left" w:pos="5580"/>
      </w:tabs>
      <w:contextualSpacing/>
      <w:jc w:val="both"/>
    </w:pPr>
    <w:rPr>
      <w:sz w:val="24"/>
      <w:szCs w:val="24"/>
    </w:rPr>
  </w:style>
  <w:style w:type="paragraph" w:styleId="Header">
    <w:name w:val="header"/>
    <w:basedOn w:val="Normal"/>
    <w:link w:val="HeaderChar"/>
    <w:uiPriority w:val="99"/>
    <w:unhideWhenUsed/>
    <w:rsid w:val="00787E46"/>
    <w:pPr>
      <w:tabs>
        <w:tab w:val="center" w:pos="4680"/>
        <w:tab w:val="right" w:pos="9360"/>
      </w:tabs>
    </w:pPr>
  </w:style>
  <w:style w:type="character" w:customStyle="1" w:styleId="HeaderChar">
    <w:name w:val="Header Char"/>
    <w:basedOn w:val="DefaultParagraphFont"/>
    <w:link w:val="Header"/>
    <w:uiPriority w:val="99"/>
    <w:rsid w:val="00787E46"/>
    <w:rPr>
      <w:rFonts w:ascii="Times New Roman" w:eastAsia="Times New Roman" w:hAnsi="Times New Roman"/>
    </w:rPr>
  </w:style>
  <w:style w:type="paragraph" w:styleId="Footer">
    <w:name w:val="footer"/>
    <w:basedOn w:val="Normal"/>
    <w:link w:val="FooterChar"/>
    <w:uiPriority w:val="99"/>
    <w:unhideWhenUsed/>
    <w:rsid w:val="00787E46"/>
    <w:pPr>
      <w:tabs>
        <w:tab w:val="center" w:pos="4680"/>
        <w:tab w:val="right" w:pos="9360"/>
      </w:tabs>
    </w:pPr>
  </w:style>
  <w:style w:type="character" w:customStyle="1" w:styleId="FooterChar">
    <w:name w:val="Footer Char"/>
    <w:basedOn w:val="DefaultParagraphFont"/>
    <w:link w:val="Footer"/>
    <w:uiPriority w:val="99"/>
    <w:rsid w:val="00787E46"/>
    <w:rPr>
      <w:rFonts w:ascii="Times New Roman" w:eastAsia="Times New Roman" w:hAnsi="Times New Roman"/>
    </w:rPr>
  </w:style>
  <w:style w:type="paragraph" w:styleId="BalloonText">
    <w:name w:val="Balloon Text"/>
    <w:basedOn w:val="Normal"/>
    <w:link w:val="BalloonTextChar"/>
    <w:uiPriority w:val="99"/>
    <w:semiHidden/>
    <w:unhideWhenUsed/>
    <w:rsid w:val="00787E46"/>
    <w:rPr>
      <w:rFonts w:ascii="Tahoma" w:hAnsi="Tahoma" w:cs="Tahoma"/>
      <w:sz w:val="16"/>
      <w:szCs w:val="16"/>
    </w:rPr>
  </w:style>
  <w:style w:type="character" w:customStyle="1" w:styleId="BalloonTextChar">
    <w:name w:val="Balloon Text Char"/>
    <w:basedOn w:val="DefaultParagraphFont"/>
    <w:link w:val="BalloonText"/>
    <w:uiPriority w:val="99"/>
    <w:semiHidden/>
    <w:rsid w:val="00787E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6D58"/>
    <w:rPr>
      <w:sz w:val="16"/>
      <w:szCs w:val="16"/>
    </w:rPr>
  </w:style>
  <w:style w:type="paragraph" w:styleId="CommentText">
    <w:name w:val="annotation text"/>
    <w:basedOn w:val="Normal"/>
    <w:link w:val="CommentTextChar"/>
    <w:uiPriority w:val="99"/>
    <w:semiHidden/>
    <w:unhideWhenUsed/>
    <w:rsid w:val="00366D58"/>
  </w:style>
  <w:style w:type="character" w:customStyle="1" w:styleId="CommentTextChar">
    <w:name w:val="Comment Text Char"/>
    <w:basedOn w:val="DefaultParagraphFont"/>
    <w:link w:val="CommentText"/>
    <w:uiPriority w:val="99"/>
    <w:semiHidden/>
    <w:rsid w:val="00366D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66D58"/>
    <w:rPr>
      <w:b/>
      <w:bCs/>
    </w:rPr>
  </w:style>
  <w:style w:type="character" w:customStyle="1" w:styleId="CommentSubjectChar">
    <w:name w:val="Comment Subject Char"/>
    <w:basedOn w:val="CommentTextChar"/>
    <w:link w:val="CommentSubject"/>
    <w:uiPriority w:val="99"/>
    <w:semiHidden/>
    <w:rsid w:val="00366D58"/>
    <w:rPr>
      <w:rFonts w:ascii="Times New Roman" w:eastAsia="Times New Roman" w:hAnsi="Times New Roman"/>
      <w:b/>
      <w:bCs/>
    </w:rPr>
  </w:style>
  <w:style w:type="character" w:styleId="Hyperlink">
    <w:name w:val="Hyperlink"/>
    <w:basedOn w:val="DefaultParagraphFont"/>
    <w:uiPriority w:val="99"/>
    <w:unhideWhenUsed/>
    <w:rsid w:val="00CF39E9"/>
    <w:rPr>
      <w:color w:val="0000FF" w:themeColor="hyperlink"/>
      <w:u w:val="single"/>
    </w:rPr>
  </w:style>
  <w:style w:type="paragraph" w:customStyle="1" w:styleId="Default">
    <w:name w:val="Default"/>
    <w:rsid w:val="00407FC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86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s.gov/newsroom/irs-issues-standard-mileage-rates-for-2023-business-use-increases-3-cents-per-m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E679-514C-4150-86A4-51EAAA22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Budget Justification</vt:lpstr>
    </vt:vector>
  </TitlesOfParts>
  <Company>Rollins College</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creator>devon massot</dc:creator>
  <cp:lastModifiedBy>Devon Massot</cp:lastModifiedBy>
  <cp:revision>46</cp:revision>
  <dcterms:created xsi:type="dcterms:W3CDTF">2012-09-20T16:02:00Z</dcterms:created>
  <dcterms:modified xsi:type="dcterms:W3CDTF">2023-09-29T23:14:00Z</dcterms:modified>
</cp:coreProperties>
</file>