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A1A4" w14:textId="3CFB1D72" w:rsidR="003A09FE" w:rsidRPr="00C57B2D" w:rsidRDefault="006F0F56" w:rsidP="00C81ECF">
      <w:pPr>
        <w:pStyle w:val="Standard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E934D6" wp14:editId="5563636E">
            <wp:simplePos x="0" y="0"/>
            <wp:positionH relativeFrom="column">
              <wp:posOffset>670864</wp:posOffset>
            </wp:positionH>
            <wp:positionV relativeFrom="paragraph">
              <wp:posOffset>-90805</wp:posOffset>
            </wp:positionV>
            <wp:extent cx="618067" cy="51414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67" cy="51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FE" w:rsidRPr="00C57B2D">
        <w:rPr>
          <w:b/>
          <w:smallCaps/>
          <w:color w:val="000000"/>
          <w:sz w:val="40"/>
          <w:szCs w:val="40"/>
          <w:lang w:val="en-US"/>
        </w:rPr>
        <w:t xml:space="preserve"> C</w:t>
      </w:r>
      <w:r w:rsidR="00DA6BA6">
        <w:rPr>
          <w:b/>
          <w:smallCaps/>
          <w:color w:val="000000"/>
          <w:sz w:val="40"/>
          <w:szCs w:val="40"/>
          <w:lang w:val="en-US"/>
        </w:rPr>
        <w:t>OMMUNITY</w:t>
      </w:r>
      <w:r w:rsidR="003A09FE" w:rsidRPr="00C57B2D">
        <w:rPr>
          <w:b/>
          <w:smallCaps/>
          <w:color w:val="000000"/>
          <w:sz w:val="40"/>
          <w:szCs w:val="40"/>
          <w:lang w:val="en-US"/>
        </w:rPr>
        <w:t xml:space="preserve"> ENGAGEMENT COMPETENCY RUBRIC</w:t>
      </w:r>
    </w:p>
    <w:p w14:paraId="4C2219A4" w14:textId="2B8B1186" w:rsidR="003A09FE" w:rsidRDefault="003A09FE" w:rsidP="00C81ECF">
      <w:pPr>
        <w:pStyle w:val="Standard"/>
        <w:rPr>
          <w:b/>
          <w:bCs/>
          <w:sz w:val="19"/>
          <w:szCs w:val="19"/>
        </w:rPr>
      </w:pPr>
    </w:p>
    <w:p w14:paraId="4CEF370F" w14:textId="203D0CA2" w:rsidR="00D25364" w:rsidRPr="00E679AD" w:rsidRDefault="00D25364" w:rsidP="00D25364">
      <w:pPr>
        <w:pStyle w:val="Standard"/>
        <w:rPr>
          <w:b/>
          <w:bCs/>
          <w:sz w:val="19"/>
          <w:szCs w:val="19"/>
          <w:lang w:val="en-US"/>
        </w:rPr>
      </w:pPr>
      <w:r w:rsidRPr="00C57B2D">
        <w:rPr>
          <w:b/>
          <w:bCs/>
          <w:sz w:val="19"/>
          <w:szCs w:val="19"/>
        </w:rPr>
        <w:t>Definition</w:t>
      </w:r>
      <w:r w:rsidRPr="00C57B2D">
        <w:rPr>
          <w:b/>
          <w:bCs/>
          <w:sz w:val="19"/>
          <w:szCs w:val="19"/>
          <w:lang w:val="en-US"/>
        </w:rPr>
        <w:t xml:space="preserve">: </w:t>
      </w:r>
      <w:r>
        <w:rPr>
          <w:kern w:val="0"/>
          <w:sz w:val="19"/>
          <w:szCs w:val="19"/>
        </w:rPr>
        <w:t xml:space="preserve">Civic </w:t>
      </w:r>
      <w:r w:rsidR="00DA6BA6">
        <w:rPr>
          <w:kern w:val="0"/>
          <w:sz w:val="19"/>
          <w:szCs w:val="19"/>
          <w:lang w:val="en-US"/>
        </w:rPr>
        <w:t xml:space="preserve">(or community) </w:t>
      </w:r>
      <w:r>
        <w:rPr>
          <w:kern w:val="0"/>
          <w:sz w:val="19"/>
          <w:szCs w:val="19"/>
        </w:rPr>
        <w:t xml:space="preserve">engagement is </w:t>
      </w:r>
      <w:r w:rsidRPr="00C57B2D">
        <w:rPr>
          <w:kern w:val="0"/>
          <w:sz w:val="19"/>
          <w:szCs w:val="19"/>
        </w:rPr>
        <w:t xml:space="preserve">working </w:t>
      </w:r>
      <w:r>
        <w:rPr>
          <w:kern w:val="0"/>
          <w:sz w:val="19"/>
          <w:szCs w:val="19"/>
          <w:lang w:val="en-US"/>
        </w:rPr>
        <w:t>to impact change in “</w:t>
      </w:r>
      <w:r w:rsidRPr="00C57B2D">
        <w:rPr>
          <w:kern w:val="0"/>
          <w:sz w:val="19"/>
          <w:szCs w:val="19"/>
        </w:rPr>
        <w:t xml:space="preserve">our communities and developing the combination of knowledge, skills, values, and motivation to make that difference. It means promoting the quality of life in a community, through both political and non-political processes." (Excerpted from </w:t>
      </w:r>
      <w:r w:rsidRPr="00C57B2D">
        <w:rPr>
          <w:i/>
          <w:iCs/>
          <w:kern w:val="0"/>
          <w:sz w:val="19"/>
          <w:szCs w:val="19"/>
        </w:rPr>
        <w:t>Civic Responsibility and Higher Education</w:t>
      </w:r>
      <w:r w:rsidRPr="00C57B2D">
        <w:rPr>
          <w:kern w:val="0"/>
          <w:sz w:val="19"/>
          <w:szCs w:val="19"/>
        </w:rPr>
        <w:t>, edited by Thomas Ehrlich, published by Oryx Press, 2000, Preface, page vi)</w:t>
      </w:r>
    </w:p>
    <w:p w14:paraId="10202334" w14:textId="77777777" w:rsidR="00D25364" w:rsidRPr="00C57B2D" w:rsidRDefault="00D25364" w:rsidP="00D253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19"/>
          <w:szCs w:val="19"/>
        </w:rPr>
      </w:pPr>
    </w:p>
    <w:p w14:paraId="3BF332D2" w14:textId="77777777" w:rsidR="00D25364" w:rsidRPr="00C57B2D" w:rsidRDefault="00D25364" w:rsidP="00D25364">
      <w:pPr>
        <w:pStyle w:val="Standard"/>
        <w:rPr>
          <w:i/>
          <w:iCs/>
          <w:sz w:val="19"/>
          <w:szCs w:val="19"/>
        </w:rPr>
      </w:pPr>
    </w:p>
    <w:tbl>
      <w:tblPr>
        <w:tblW w:w="1434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3047"/>
        <w:gridCol w:w="3048"/>
        <w:gridCol w:w="3047"/>
        <w:gridCol w:w="3048"/>
      </w:tblGrid>
      <w:tr w:rsidR="00D25364" w:rsidRPr="00C57B2D" w14:paraId="112DE693" w14:textId="77777777" w:rsidTr="0069262A">
        <w:trPr>
          <w:trHeight w:val="576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16D37" w14:textId="77777777" w:rsidR="00D25364" w:rsidRPr="00C57B2D" w:rsidRDefault="00D25364" w:rsidP="0069262A">
            <w:pPr>
              <w:pStyle w:val="Textbody"/>
              <w:spacing w:after="0"/>
              <w:rPr>
                <w:b/>
                <w:bCs/>
                <w:sz w:val="19"/>
                <w:szCs w:val="19"/>
                <w:lang w:val="en-US"/>
              </w:rPr>
            </w:pPr>
            <w:r w:rsidRPr="00C57B2D">
              <w:rPr>
                <w:b/>
                <w:bCs/>
                <w:sz w:val="19"/>
                <w:szCs w:val="19"/>
                <w:lang w:val="en-US"/>
              </w:rPr>
              <w:t>Student will be able to…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C965" w14:textId="77777777" w:rsidR="00D25364" w:rsidRPr="00C57B2D" w:rsidRDefault="00D25364" w:rsidP="0069262A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Mastering</w:t>
            </w:r>
          </w:p>
          <w:p w14:paraId="77F60F9D" w14:textId="77777777" w:rsidR="00D25364" w:rsidRPr="00C57B2D" w:rsidRDefault="00D25364" w:rsidP="0069262A">
            <w:pPr>
              <w:pStyle w:val="Textbody"/>
              <w:spacing w:after="0"/>
              <w:jc w:val="center"/>
              <w:rPr>
                <w:sz w:val="19"/>
                <w:szCs w:val="19"/>
              </w:rPr>
            </w:pPr>
            <w:r w:rsidRPr="00C57B2D">
              <w:rPr>
                <w:sz w:val="19"/>
                <w:szCs w:val="19"/>
              </w:rPr>
              <w:t>4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F7D7" w14:textId="77777777" w:rsidR="00D25364" w:rsidRPr="00C57B2D" w:rsidRDefault="00D25364" w:rsidP="0069262A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Advancing</w:t>
            </w:r>
          </w:p>
          <w:p w14:paraId="6D4DCC0B" w14:textId="77777777" w:rsidR="00D25364" w:rsidRPr="00C57B2D" w:rsidRDefault="00D25364" w:rsidP="0069262A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C57B2D">
              <w:rPr>
                <w:b/>
                <w:bCs/>
                <w:sz w:val="19"/>
                <w:szCs w:val="19"/>
                <w:lang w:val="en-US"/>
              </w:rPr>
              <w:t>3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99B323" w14:textId="77777777" w:rsidR="00D25364" w:rsidRPr="00C57B2D" w:rsidRDefault="00D25364" w:rsidP="0069262A">
            <w:pPr>
              <w:pStyle w:val="Textbody"/>
              <w:spacing w:after="0"/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Developing</w:t>
            </w:r>
          </w:p>
          <w:p w14:paraId="0F7A2A59" w14:textId="77777777" w:rsidR="00D25364" w:rsidRPr="00C57B2D" w:rsidRDefault="00D25364" w:rsidP="0069262A">
            <w:pPr>
              <w:pStyle w:val="Textbody"/>
              <w:spacing w:after="0"/>
              <w:jc w:val="center"/>
              <w:rPr>
                <w:b/>
                <w:sz w:val="19"/>
                <w:szCs w:val="19"/>
                <w:lang w:val="en-US"/>
              </w:rPr>
            </w:pPr>
            <w:r w:rsidRPr="00C57B2D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749A2" w14:textId="77777777" w:rsidR="00D25364" w:rsidRPr="00C57B2D" w:rsidRDefault="00D25364" w:rsidP="0069262A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 xml:space="preserve">Beginning </w:t>
            </w:r>
          </w:p>
          <w:p w14:paraId="7E90B99E" w14:textId="77777777" w:rsidR="00D25364" w:rsidRPr="00C57B2D" w:rsidRDefault="00D25364" w:rsidP="0069262A">
            <w:pPr>
              <w:pStyle w:val="Textbody"/>
              <w:spacing w:after="0"/>
              <w:jc w:val="center"/>
              <w:rPr>
                <w:sz w:val="19"/>
                <w:szCs w:val="19"/>
              </w:rPr>
            </w:pPr>
            <w:r w:rsidRPr="00C57B2D">
              <w:rPr>
                <w:sz w:val="19"/>
                <w:szCs w:val="19"/>
              </w:rPr>
              <w:t>1</w:t>
            </w:r>
          </w:p>
        </w:tc>
      </w:tr>
      <w:tr w:rsidR="00D25364" w:rsidRPr="00C57B2D" w14:paraId="6CE016F6" w14:textId="77777777" w:rsidTr="0069262A">
        <w:trPr>
          <w:trHeight w:val="1086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358C4" w14:textId="77777777" w:rsidR="00D25364" w:rsidRPr="00211450" w:rsidRDefault="00D25364" w:rsidP="0069262A">
            <w:pPr>
              <w:pStyle w:val="Textbody"/>
              <w:spacing w:after="0"/>
              <w:rPr>
                <w:b/>
                <w:bCs/>
                <w:color w:val="00B050"/>
                <w:sz w:val="19"/>
                <w:szCs w:val="19"/>
                <w:lang w:val="en-US"/>
              </w:rPr>
            </w:pPr>
            <w:r w:rsidRPr="00211450">
              <w:rPr>
                <w:b/>
                <w:bCs/>
                <w:color w:val="00B050"/>
                <w:kern w:val="0"/>
                <w:sz w:val="19"/>
                <w:szCs w:val="19"/>
                <w:lang w:val="en-US"/>
              </w:rPr>
              <w:t xml:space="preserve">Value </w:t>
            </w:r>
            <w:r w:rsidRPr="00211450">
              <w:rPr>
                <w:b/>
                <w:bCs/>
                <w:color w:val="00B050"/>
                <w:kern w:val="0"/>
                <w:sz w:val="19"/>
                <w:szCs w:val="19"/>
              </w:rPr>
              <w:t>Diversity of Communities and Cultures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115FF" w14:textId="77777777" w:rsidR="00D25364" w:rsidRPr="00211450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B050"/>
                <w:kern w:val="0"/>
                <w:sz w:val="19"/>
                <w:szCs w:val="19"/>
              </w:rPr>
            </w:pPr>
            <w:r w:rsidRPr="00211450">
              <w:rPr>
                <w:rFonts w:cs="Times New Roman"/>
                <w:color w:val="00B050"/>
                <w:kern w:val="0"/>
                <w:sz w:val="19"/>
                <w:szCs w:val="19"/>
              </w:rPr>
              <w:t>Demonstrates evidence of adjustment in own attitudes and beliefs as a result of working within and learning from diverse communities and cultures. Promotes others' engagement with differing perspectives.</w:t>
            </w:r>
          </w:p>
          <w:p w14:paraId="30D5935B" w14:textId="77777777" w:rsidR="00D25364" w:rsidRPr="00211450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B050"/>
                <w:kern w:val="0"/>
                <w:sz w:val="19"/>
                <w:szCs w:val="19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2DAFC" w14:textId="6CFF21ED" w:rsidR="00D25364" w:rsidRPr="00211450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B050"/>
                <w:kern w:val="0"/>
                <w:sz w:val="19"/>
                <w:szCs w:val="19"/>
              </w:rPr>
            </w:pPr>
            <w:r w:rsidRPr="00211450">
              <w:rPr>
                <w:rFonts w:cs="Times New Roman"/>
                <w:color w:val="00B050"/>
                <w:kern w:val="0"/>
                <w:sz w:val="19"/>
                <w:szCs w:val="19"/>
              </w:rPr>
              <w:t>Reflects on how own attitudes and beliefs are different from those of other cultures and communities. Exhibits curiosity about what can be learned from divers</w:t>
            </w:r>
            <w:r w:rsidR="00DA6BA6" w:rsidRPr="00211450">
              <w:rPr>
                <w:rFonts w:cs="Times New Roman"/>
                <w:color w:val="00B050"/>
                <w:kern w:val="0"/>
                <w:sz w:val="19"/>
                <w:szCs w:val="19"/>
              </w:rPr>
              <w:t>e</w:t>
            </w:r>
            <w:r w:rsidRPr="00211450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 communities and cultures.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17AF9F" w14:textId="3BC48396" w:rsidR="00D25364" w:rsidRPr="00211450" w:rsidRDefault="00DA6BA6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B050"/>
                <w:kern w:val="0"/>
                <w:sz w:val="19"/>
                <w:szCs w:val="19"/>
              </w:rPr>
            </w:pPr>
            <w:r w:rsidRPr="00211450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Demonstrates </w:t>
            </w:r>
            <w:r w:rsidR="00D25364" w:rsidRPr="00211450">
              <w:rPr>
                <w:rFonts w:cs="Times New Roman"/>
                <w:color w:val="00B050"/>
                <w:kern w:val="0"/>
                <w:sz w:val="19"/>
                <w:szCs w:val="19"/>
              </w:rPr>
              <w:t>awareness that own attitudes and beliefs are different from those of other cultures and communities. Exhibits little curiosity about what can be learned from those with differing perspectives.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91179" w14:textId="77777777" w:rsidR="00D25364" w:rsidRPr="00211450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B050"/>
                <w:kern w:val="0"/>
                <w:sz w:val="19"/>
                <w:szCs w:val="19"/>
              </w:rPr>
            </w:pPr>
            <w:r w:rsidRPr="00211450">
              <w:rPr>
                <w:rFonts w:cs="Times New Roman"/>
                <w:color w:val="00B050"/>
                <w:kern w:val="0"/>
                <w:sz w:val="19"/>
                <w:szCs w:val="19"/>
              </w:rPr>
              <w:t>Expresses attitudes and beliefs from a one-sided, personal view. Is indifferent or resistant to what can be learned from those with differing perspectives.</w:t>
            </w:r>
          </w:p>
        </w:tc>
      </w:tr>
      <w:tr w:rsidR="00D25364" w:rsidRPr="00C57B2D" w14:paraId="44F88DD0" w14:textId="77777777" w:rsidTr="0069262A">
        <w:trPr>
          <w:trHeight w:val="1086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DCA8F" w14:textId="123EFF41" w:rsidR="00D25364" w:rsidRPr="00C57B2D" w:rsidRDefault="00675689" w:rsidP="0069262A">
            <w:pPr>
              <w:pStyle w:val="Textbody"/>
              <w:spacing w:after="0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kern w:val="0"/>
                <w:sz w:val="19"/>
                <w:szCs w:val="19"/>
                <w:lang w:val="en-US"/>
              </w:rPr>
              <w:t>Make Connections Between New Knowledge and C</w:t>
            </w:r>
            <w:r w:rsidR="00DA6BA6">
              <w:rPr>
                <w:b/>
                <w:bCs/>
                <w:kern w:val="0"/>
                <w:sz w:val="19"/>
                <w:szCs w:val="19"/>
                <w:lang w:val="en-US"/>
              </w:rPr>
              <w:t xml:space="preserve">ommunity </w:t>
            </w:r>
            <w:r>
              <w:rPr>
                <w:b/>
                <w:bCs/>
                <w:kern w:val="0"/>
                <w:sz w:val="19"/>
                <w:szCs w:val="19"/>
                <w:lang w:val="en-US"/>
              </w:rPr>
              <w:t xml:space="preserve"> Experiences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0BF12" w14:textId="3E6E53C0" w:rsidR="00D25364" w:rsidRPr="00C57B2D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C57B2D">
              <w:rPr>
                <w:rFonts w:cs="Times New Roman"/>
                <w:kern w:val="0"/>
                <w:sz w:val="19"/>
                <w:szCs w:val="19"/>
              </w:rPr>
              <w:t>Connects a</w:t>
            </w:r>
            <w:r>
              <w:rPr>
                <w:rFonts w:cs="Times New Roman"/>
                <w:kern w:val="0"/>
                <w:sz w:val="19"/>
                <w:szCs w:val="19"/>
              </w:rPr>
              <w:t xml:space="preserve">nd extends knowledge from 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>co-curricular and curricular experiences to c</w:t>
            </w:r>
            <w:r w:rsidR="00DA6BA6">
              <w:rPr>
                <w:rFonts w:cs="Times New Roman"/>
                <w:kern w:val="0"/>
                <w:sz w:val="19"/>
                <w:szCs w:val="19"/>
              </w:rPr>
              <w:t>ommunity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 xml:space="preserve"> engagement and to their participation in </w:t>
            </w:r>
            <w:r>
              <w:rPr>
                <w:rFonts w:cs="Times New Roman"/>
                <w:kern w:val="0"/>
                <w:sz w:val="19"/>
                <w:szCs w:val="19"/>
              </w:rPr>
              <w:t>the community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>.</w:t>
            </w:r>
          </w:p>
          <w:p w14:paraId="359ED767" w14:textId="77777777" w:rsidR="00D25364" w:rsidRPr="00C57B2D" w:rsidRDefault="00D25364" w:rsidP="0069262A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574C" w14:textId="298FCCCF" w:rsidR="00D25364" w:rsidRPr="00C57B2D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C57B2D">
              <w:rPr>
                <w:rFonts w:cs="Times New Roman"/>
                <w:kern w:val="0"/>
                <w:sz w:val="19"/>
                <w:szCs w:val="19"/>
              </w:rPr>
              <w:t xml:space="preserve">Analyzes knowledge (facts, </w:t>
            </w:r>
            <w:r>
              <w:rPr>
                <w:rFonts w:cs="Times New Roman"/>
                <w:kern w:val="0"/>
                <w:sz w:val="19"/>
                <w:szCs w:val="19"/>
              </w:rPr>
              <w:t xml:space="preserve">theories, etc.) from 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>co-curricular and curricular experiences making relevant connections to c</w:t>
            </w:r>
            <w:r w:rsidR="00DA6BA6">
              <w:rPr>
                <w:rFonts w:cs="Times New Roman"/>
                <w:kern w:val="0"/>
                <w:sz w:val="19"/>
                <w:szCs w:val="19"/>
              </w:rPr>
              <w:t>ommunity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 xml:space="preserve"> engagement and to their participation in </w:t>
            </w:r>
            <w:r>
              <w:rPr>
                <w:rFonts w:cs="Times New Roman"/>
                <w:kern w:val="0"/>
                <w:sz w:val="19"/>
                <w:szCs w:val="19"/>
              </w:rPr>
              <w:t>the community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>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B3C005" w14:textId="0CB0F5CC" w:rsidR="00D25364" w:rsidRPr="00C57B2D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C57B2D">
              <w:rPr>
                <w:rFonts w:cs="Times New Roman"/>
                <w:kern w:val="0"/>
                <w:sz w:val="19"/>
                <w:szCs w:val="19"/>
              </w:rPr>
              <w:t>Begins to connect knowledge (fa</w:t>
            </w:r>
            <w:r>
              <w:rPr>
                <w:rFonts w:cs="Times New Roman"/>
                <w:kern w:val="0"/>
                <w:sz w:val="19"/>
                <w:szCs w:val="19"/>
              </w:rPr>
              <w:t xml:space="preserve">cts, theories, etc.) from 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 xml:space="preserve">co-curricular and curricular experiences to </w:t>
            </w:r>
            <w:r w:rsidR="00DA6BA6">
              <w:rPr>
                <w:rFonts w:cs="Times New Roman"/>
                <w:kern w:val="0"/>
                <w:sz w:val="19"/>
                <w:szCs w:val="19"/>
              </w:rPr>
              <w:t>community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 xml:space="preserve"> engagement and to their participation in </w:t>
            </w:r>
            <w:r>
              <w:rPr>
                <w:rFonts w:cs="Times New Roman"/>
                <w:kern w:val="0"/>
                <w:sz w:val="19"/>
                <w:szCs w:val="19"/>
              </w:rPr>
              <w:t>the community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>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6F9C" w14:textId="7BD2495B" w:rsidR="00D25364" w:rsidRPr="00C57B2D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C57B2D">
              <w:rPr>
                <w:rFonts w:cs="Times New Roman"/>
                <w:kern w:val="0"/>
                <w:sz w:val="19"/>
                <w:szCs w:val="19"/>
              </w:rPr>
              <w:t>Begins to identify knowledge (facts, theories, etc.) that is relevant to c</w:t>
            </w:r>
            <w:r w:rsidR="00DA6BA6">
              <w:rPr>
                <w:rFonts w:cs="Times New Roman"/>
                <w:kern w:val="0"/>
                <w:sz w:val="19"/>
                <w:szCs w:val="19"/>
              </w:rPr>
              <w:t>ommunity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 xml:space="preserve"> engagement and to their participation in </w:t>
            </w:r>
            <w:r>
              <w:rPr>
                <w:rFonts w:cs="Times New Roman"/>
                <w:kern w:val="0"/>
                <w:sz w:val="19"/>
                <w:szCs w:val="19"/>
              </w:rPr>
              <w:t>the community</w:t>
            </w:r>
            <w:r w:rsidRPr="00C57B2D">
              <w:rPr>
                <w:rFonts w:cs="Times New Roman"/>
                <w:kern w:val="0"/>
                <w:sz w:val="19"/>
                <w:szCs w:val="19"/>
              </w:rPr>
              <w:t>.</w:t>
            </w:r>
          </w:p>
        </w:tc>
      </w:tr>
      <w:tr w:rsidR="00D25364" w:rsidRPr="00C57B2D" w14:paraId="1EBDE9D9" w14:textId="77777777" w:rsidTr="0069262A">
        <w:trPr>
          <w:trHeight w:val="1086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2BBF" w14:textId="3B3557E1" w:rsidR="00D25364" w:rsidRPr="0048440D" w:rsidRDefault="00D25364" w:rsidP="0069262A">
            <w:pPr>
              <w:pStyle w:val="Textbody"/>
              <w:spacing w:after="0"/>
              <w:rPr>
                <w:b/>
                <w:bCs/>
                <w:color w:val="00B050"/>
                <w:sz w:val="19"/>
                <w:szCs w:val="19"/>
                <w:lang w:val="en-US"/>
              </w:rPr>
            </w:pPr>
            <w:r w:rsidRPr="0048440D">
              <w:rPr>
                <w:b/>
                <w:bCs/>
                <w:color w:val="00B050"/>
                <w:kern w:val="0"/>
                <w:sz w:val="19"/>
                <w:szCs w:val="19"/>
                <w:lang w:val="en-US"/>
              </w:rPr>
              <w:t xml:space="preserve">Understand </w:t>
            </w:r>
            <w:r w:rsidRPr="0048440D">
              <w:rPr>
                <w:b/>
                <w:bCs/>
                <w:color w:val="00B050"/>
                <w:kern w:val="0"/>
                <w:sz w:val="19"/>
                <w:szCs w:val="19"/>
              </w:rPr>
              <w:t>C</w:t>
            </w:r>
            <w:proofErr w:type="spellStart"/>
            <w:r w:rsidR="00DA6BA6" w:rsidRPr="0048440D">
              <w:rPr>
                <w:b/>
                <w:bCs/>
                <w:color w:val="00B050"/>
                <w:kern w:val="0"/>
                <w:sz w:val="19"/>
                <w:szCs w:val="19"/>
                <w:lang w:val="en-US"/>
              </w:rPr>
              <w:t>ivic</w:t>
            </w:r>
            <w:proofErr w:type="spellEnd"/>
            <w:r w:rsidRPr="0048440D">
              <w:rPr>
                <w:b/>
                <w:bCs/>
                <w:color w:val="00B050"/>
                <w:kern w:val="0"/>
                <w:sz w:val="19"/>
                <w:szCs w:val="19"/>
              </w:rPr>
              <w:t xml:space="preserve"> Identity and Commitment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074A" w14:textId="542204AD" w:rsidR="00D25364" w:rsidRPr="0048440D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B050"/>
                <w:kern w:val="0"/>
                <w:sz w:val="19"/>
                <w:szCs w:val="19"/>
              </w:rPr>
            </w:pP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Provides evidence of experience in c</w:t>
            </w:r>
            <w:r w:rsidR="00DA6BA6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ommunity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 engagement activities and describes what they’ve learned about themselves </w:t>
            </w:r>
            <w:r w:rsidR="0069262A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in relation 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to a reinforced and clarified sense of civic identity and continued commitment to public action (i.e. active citizen).</w:t>
            </w:r>
          </w:p>
          <w:p w14:paraId="31C097F9" w14:textId="77777777" w:rsidR="00D25364" w:rsidRPr="0048440D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B050"/>
                <w:kern w:val="0"/>
                <w:sz w:val="19"/>
                <w:szCs w:val="19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E920" w14:textId="62ABD3B3" w:rsidR="00D25364" w:rsidRPr="0048440D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B050"/>
                <w:kern w:val="0"/>
                <w:sz w:val="19"/>
                <w:szCs w:val="19"/>
              </w:rPr>
            </w:pP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Provides evidence of experience in c</w:t>
            </w:r>
            <w:r w:rsidR="00DA6BA6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ommunity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 engagement activities and describes what they’ve learned about themselves </w:t>
            </w:r>
            <w:r w:rsidR="0069262A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in relation 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to a growing sense of civic identity and commitment (i.e. conscientious &amp; committed citizen).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0636E8" w14:textId="21A52B68" w:rsidR="00D25364" w:rsidRPr="0048440D" w:rsidRDefault="0069262A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B050"/>
                <w:kern w:val="0"/>
                <w:sz w:val="19"/>
                <w:szCs w:val="19"/>
              </w:rPr>
            </w:pP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Provides evidence </w:t>
            </w:r>
            <w:r w:rsidR="00D474CC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that involvement</w:t>
            </w:r>
            <w:r w:rsidR="00D25364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 in c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ommunity</w:t>
            </w:r>
            <w:r w:rsidR="00D25364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 engagement activities is generated from a well-intentioned place, but not a well-informed place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. D</w:t>
            </w:r>
            <w:r w:rsidR="00D25364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oes not connect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 </w:t>
            </w:r>
            <w:r w:rsidR="00D474CC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experiences</w:t>
            </w:r>
            <w:r w:rsidR="00D25364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 to 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a</w:t>
            </w:r>
            <w:r w:rsidR="00D25364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 sense of civic identity (i.e. volunteer type status).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4AA8" w14:textId="5D15FB21" w:rsidR="00D25364" w:rsidRPr="0048440D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B050"/>
                <w:kern w:val="0"/>
                <w:sz w:val="19"/>
                <w:szCs w:val="19"/>
              </w:rPr>
            </w:pP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Provides little evidence </w:t>
            </w:r>
            <w:r w:rsidR="00D474CC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of experience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 in c</w:t>
            </w:r>
            <w:r w:rsidR="0069262A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ommunity 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engagement activities and does not connect experiences to civic identity (i.e. a membership status – not concerned with </w:t>
            </w:r>
            <w:r w:rsidR="0069262A"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>own</w:t>
            </w:r>
            <w:r w:rsidRPr="0048440D">
              <w:rPr>
                <w:rFonts w:cs="Times New Roman"/>
                <w:color w:val="00B050"/>
                <w:kern w:val="0"/>
                <w:sz w:val="19"/>
                <w:szCs w:val="19"/>
              </w:rPr>
              <w:t xml:space="preserve"> role in community, social issues).</w:t>
            </w:r>
          </w:p>
        </w:tc>
      </w:tr>
      <w:tr w:rsidR="00D25364" w:rsidRPr="00C57B2D" w14:paraId="3247FBBF" w14:textId="77777777" w:rsidTr="0069262A">
        <w:trPr>
          <w:trHeight w:val="1409"/>
        </w:trPr>
        <w:tc>
          <w:tcPr>
            <w:tcW w:w="2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0E300" w14:textId="1155748D" w:rsidR="00D25364" w:rsidRPr="00C57B2D" w:rsidRDefault="00D25364" w:rsidP="0069262A">
            <w:pPr>
              <w:pStyle w:val="Standard"/>
              <w:rPr>
                <w:b/>
                <w:bCs/>
                <w:sz w:val="19"/>
                <w:szCs w:val="19"/>
              </w:rPr>
            </w:pPr>
            <w:r w:rsidRPr="00C57B2D">
              <w:rPr>
                <w:b/>
                <w:bCs/>
                <w:kern w:val="0"/>
                <w:sz w:val="19"/>
                <w:szCs w:val="19"/>
                <w:lang w:val="en-US"/>
              </w:rPr>
              <w:t xml:space="preserve">Complete </w:t>
            </w:r>
            <w:r w:rsidRPr="00C57B2D">
              <w:rPr>
                <w:b/>
                <w:bCs/>
                <w:kern w:val="0"/>
                <w:sz w:val="19"/>
                <w:szCs w:val="19"/>
              </w:rPr>
              <w:t>C</w:t>
            </w:r>
            <w:proofErr w:type="spellStart"/>
            <w:r w:rsidR="00DA6BA6">
              <w:rPr>
                <w:b/>
                <w:bCs/>
                <w:kern w:val="0"/>
                <w:sz w:val="19"/>
                <w:szCs w:val="19"/>
                <w:lang w:val="en-US"/>
              </w:rPr>
              <w:t>ommunity</w:t>
            </w:r>
            <w:proofErr w:type="spellEnd"/>
            <w:r w:rsidRPr="00C57B2D">
              <w:rPr>
                <w:b/>
                <w:bCs/>
                <w:kern w:val="0"/>
                <w:sz w:val="19"/>
                <w:szCs w:val="19"/>
              </w:rPr>
              <w:t xml:space="preserve"> Action and Reflection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1678A" w14:textId="487AB51B" w:rsidR="00D25364" w:rsidRPr="00904835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904835">
              <w:rPr>
                <w:rFonts w:cs="Times New Roman"/>
                <w:kern w:val="0"/>
                <w:sz w:val="19"/>
                <w:szCs w:val="19"/>
              </w:rPr>
              <w:t xml:space="preserve">Demonstrates independent experience </w:t>
            </w:r>
            <w:r>
              <w:rPr>
                <w:rFonts w:cs="Times New Roman"/>
                <w:kern w:val="0"/>
                <w:sz w:val="19"/>
                <w:szCs w:val="19"/>
              </w:rPr>
              <w:t>with</w:t>
            </w:r>
            <w:r w:rsidR="00964BEE">
              <w:rPr>
                <w:rFonts w:cs="Times New Roman"/>
                <w:kern w:val="0"/>
                <w:sz w:val="19"/>
                <w:szCs w:val="19"/>
              </w:rPr>
              <w:t>,</w:t>
            </w:r>
            <w:r>
              <w:rPr>
                <w:rFonts w:cs="Times New Roman"/>
                <w:kern w:val="0"/>
                <w:sz w:val="19"/>
                <w:szCs w:val="19"/>
              </w:rPr>
              <w:t xml:space="preserve"> </w:t>
            </w:r>
            <w:r w:rsidRPr="00904835">
              <w:rPr>
                <w:rFonts w:cs="Times New Roman"/>
                <w:kern w:val="0"/>
                <w:sz w:val="19"/>
                <w:szCs w:val="19"/>
              </w:rPr>
              <w:t xml:space="preserve">and </w:t>
            </w:r>
            <w:r>
              <w:rPr>
                <w:rFonts w:cs="Times New Roman"/>
                <w:kern w:val="0"/>
                <w:sz w:val="19"/>
                <w:szCs w:val="19"/>
              </w:rPr>
              <w:t>shows initiative in leading group process for</w:t>
            </w:r>
            <w:r w:rsidRPr="00904835">
              <w:rPr>
                <w:rFonts w:cs="Times New Roman"/>
                <w:kern w:val="0"/>
                <w:sz w:val="19"/>
                <w:szCs w:val="19"/>
              </w:rPr>
              <w:t xml:space="preserve"> complex or multiple c</w:t>
            </w:r>
            <w:r w:rsidR="00964BEE">
              <w:rPr>
                <w:rFonts w:cs="Times New Roman"/>
                <w:kern w:val="0"/>
                <w:sz w:val="19"/>
                <w:szCs w:val="19"/>
              </w:rPr>
              <w:t>ommunity</w:t>
            </w:r>
            <w:r w:rsidRPr="00904835">
              <w:rPr>
                <w:rFonts w:cs="Times New Roman"/>
                <w:kern w:val="0"/>
                <w:sz w:val="19"/>
                <w:szCs w:val="19"/>
              </w:rPr>
              <w:t xml:space="preserve"> engagement activities, accompanied by reflective insights or analysis about the aims and accomplishments of one’s actions. Demonstrates ability and commitment to </w:t>
            </w:r>
            <w:r w:rsidRPr="00904835">
              <w:rPr>
                <w:rFonts w:cs="Times New Roman"/>
                <w:iCs/>
                <w:kern w:val="0"/>
                <w:sz w:val="19"/>
                <w:szCs w:val="19"/>
              </w:rPr>
              <w:t xml:space="preserve">collaboratively work across and within </w:t>
            </w:r>
            <w:r w:rsidRPr="00904835">
              <w:rPr>
                <w:rFonts w:cs="Times New Roman"/>
                <w:kern w:val="0"/>
                <w:sz w:val="19"/>
                <w:szCs w:val="19"/>
              </w:rPr>
              <w:t xml:space="preserve">community contexts and </w:t>
            </w:r>
            <w:r w:rsidRPr="00B64D5F">
              <w:rPr>
                <w:rFonts w:cs="Times New Roman"/>
                <w:kern w:val="0"/>
                <w:sz w:val="19"/>
                <w:szCs w:val="19"/>
              </w:rPr>
              <w:t xml:space="preserve">structures </w:t>
            </w:r>
            <w:r w:rsidRPr="00B64D5F">
              <w:rPr>
                <w:rFonts w:cs="Times New Roman"/>
                <w:iCs/>
                <w:kern w:val="0"/>
                <w:sz w:val="19"/>
                <w:szCs w:val="19"/>
              </w:rPr>
              <w:t>to impact change</w:t>
            </w:r>
            <w:r w:rsidRPr="00B64D5F">
              <w:rPr>
                <w:rFonts w:cs="Times New Roman"/>
                <w:kern w:val="0"/>
                <w:sz w:val="19"/>
                <w:szCs w:val="19"/>
              </w:rPr>
              <w:t>.</w:t>
            </w:r>
          </w:p>
          <w:p w14:paraId="5C7E12BD" w14:textId="77777777" w:rsidR="00D25364" w:rsidRPr="00904835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1D54B" w14:textId="26829B09" w:rsidR="00D25364" w:rsidRPr="00904835" w:rsidRDefault="00D25364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904835">
              <w:rPr>
                <w:rFonts w:cs="Times New Roman"/>
                <w:kern w:val="0"/>
                <w:sz w:val="19"/>
                <w:szCs w:val="19"/>
              </w:rPr>
              <w:t xml:space="preserve">Demonstrates independent experience </w:t>
            </w:r>
            <w:r>
              <w:rPr>
                <w:rFonts w:cs="Times New Roman"/>
                <w:kern w:val="0"/>
                <w:sz w:val="19"/>
                <w:szCs w:val="19"/>
              </w:rPr>
              <w:t>with</w:t>
            </w:r>
            <w:r w:rsidR="00964BEE">
              <w:rPr>
                <w:rFonts w:cs="Times New Roman"/>
                <w:kern w:val="0"/>
                <w:sz w:val="19"/>
                <w:szCs w:val="19"/>
              </w:rPr>
              <w:t>,</w:t>
            </w:r>
            <w:r>
              <w:rPr>
                <w:rFonts w:cs="Times New Roman"/>
                <w:kern w:val="0"/>
                <w:sz w:val="19"/>
                <w:szCs w:val="19"/>
              </w:rPr>
              <w:t xml:space="preserve"> </w:t>
            </w:r>
            <w:r w:rsidRPr="00904835">
              <w:rPr>
                <w:rFonts w:cs="Times New Roman"/>
                <w:kern w:val="0"/>
                <w:sz w:val="19"/>
                <w:szCs w:val="19"/>
              </w:rPr>
              <w:t xml:space="preserve">and </w:t>
            </w:r>
            <w:r>
              <w:rPr>
                <w:rFonts w:cs="Times New Roman"/>
                <w:iCs/>
                <w:kern w:val="0"/>
                <w:sz w:val="19"/>
                <w:szCs w:val="19"/>
              </w:rPr>
              <w:t xml:space="preserve">participates actively in the group process for </w:t>
            </w:r>
            <w:r>
              <w:rPr>
                <w:rFonts w:cs="Times New Roman"/>
                <w:kern w:val="0"/>
                <w:sz w:val="19"/>
                <w:szCs w:val="19"/>
              </w:rPr>
              <w:t>c</w:t>
            </w:r>
            <w:r w:rsidR="00964BEE">
              <w:rPr>
                <w:rFonts w:cs="Times New Roman"/>
                <w:kern w:val="0"/>
                <w:sz w:val="19"/>
                <w:szCs w:val="19"/>
              </w:rPr>
              <w:t>ommunity</w:t>
            </w:r>
            <w:r>
              <w:rPr>
                <w:rFonts w:cs="Times New Roman"/>
                <w:kern w:val="0"/>
                <w:sz w:val="19"/>
                <w:szCs w:val="19"/>
              </w:rPr>
              <w:t xml:space="preserve"> engagement activities</w:t>
            </w:r>
            <w:r w:rsidRPr="00904835">
              <w:rPr>
                <w:rFonts w:cs="Times New Roman"/>
                <w:kern w:val="0"/>
                <w:sz w:val="19"/>
                <w:szCs w:val="19"/>
              </w:rPr>
              <w:t xml:space="preserve"> with reflective insights or analysis about the aims and</w:t>
            </w:r>
          </w:p>
          <w:p w14:paraId="3A808905" w14:textId="77777777" w:rsidR="00D25364" w:rsidRPr="00904835" w:rsidRDefault="00D25364" w:rsidP="0069262A">
            <w:pPr>
              <w:pStyle w:val="Standard"/>
              <w:rPr>
                <w:sz w:val="19"/>
                <w:szCs w:val="19"/>
                <w:lang w:val="en-US"/>
              </w:rPr>
            </w:pPr>
            <w:r w:rsidRPr="00904835">
              <w:rPr>
                <w:kern w:val="0"/>
                <w:sz w:val="19"/>
                <w:szCs w:val="19"/>
              </w:rPr>
              <w:t>accomplishments of one’s actions.</w:t>
            </w:r>
            <w:r w:rsidRPr="00904835">
              <w:rPr>
                <w:kern w:val="0"/>
                <w:sz w:val="19"/>
                <w:szCs w:val="19"/>
                <w:lang w:val="en-US"/>
              </w:rPr>
              <w:t xml:space="preserve"> </w:t>
            </w:r>
            <w:r w:rsidRPr="00B64D5F">
              <w:rPr>
                <w:kern w:val="0"/>
                <w:sz w:val="19"/>
                <w:szCs w:val="19"/>
              </w:rPr>
              <w:t xml:space="preserve">Demonstrates ability and commitment to work actively </w:t>
            </w:r>
            <w:r w:rsidRPr="00B64D5F">
              <w:rPr>
                <w:iCs/>
                <w:kern w:val="0"/>
                <w:sz w:val="19"/>
                <w:szCs w:val="19"/>
              </w:rPr>
              <w:t xml:space="preserve">within </w:t>
            </w:r>
            <w:r w:rsidRPr="00B64D5F">
              <w:rPr>
                <w:kern w:val="0"/>
                <w:sz w:val="19"/>
                <w:szCs w:val="19"/>
              </w:rPr>
              <w:t xml:space="preserve">community contexts and structures </w:t>
            </w:r>
            <w:r w:rsidRPr="00B64D5F">
              <w:rPr>
                <w:iCs/>
                <w:kern w:val="0"/>
                <w:sz w:val="19"/>
                <w:szCs w:val="19"/>
              </w:rPr>
              <w:t xml:space="preserve">to </w:t>
            </w:r>
            <w:r w:rsidRPr="00B64D5F">
              <w:rPr>
                <w:iCs/>
                <w:kern w:val="0"/>
                <w:sz w:val="19"/>
                <w:szCs w:val="19"/>
                <w:lang w:val="en-US"/>
              </w:rPr>
              <w:t>impact change</w:t>
            </w:r>
            <w:r w:rsidRPr="00B64D5F">
              <w:rPr>
                <w:kern w:val="0"/>
                <w:sz w:val="19"/>
                <w:szCs w:val="19"/>
              </w:rPr>
              <w:t>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5882" w14:textId="42E45613" w:rsidR="00D25364" w:rsidRPr="00904835" w:rsidRDefault="00D474CC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>
              <w:rPr>
                <w:rFonts w:cs="Times New Roman"/>
                <w:kern w:val="0"/>
                <w:sz w:val="19"/>
                <w:szCs w:val="19"/>
              </w:rPr>
              <w:t>P</w:t>
            </w:r>
            <w:r>
              <w:rPr>
                <w:rFonts w:cs="Times New Roman"/>
                <w:iCs/>
                <w:kern w:val="0"/>
                <w:sz w:val="19"/>
                <w:szCs w:val="19"/>
              </w:rPr>
              <w:t>a</w:t>
            </w:r>
            <w:r w:rsidRPr="00904835">
              <w:rPr>
                <w:rFonts w:cs="Times New Roman"/>
                <w:iCs/>
                <w:kern w:val="0"/>
                <w:sz w:val="19"/>
                <w:szCs w:val="19"/>
              </w:rPr>
              <w:t>rticipates</w:t>
            </w:r>
            <w:r w:rsidR="00D25364" w:rsidRPr="00904835">
              <w:rPr>
                <w:rFonts w:cs="Times New Roman"/>
                <w:iCs/>
                <w:kern w:val="0"/>
                <w:sz w:val="19"/>
                <w:szCs w:val="19"/>
              </w:rPr>
              <w:t xml:space="preserve"> </w:t>
            </w:r>
            <w:r w:rsidR="00D25364" w:rsidRPr="00904835">
              <w:rPr>
                <w:rFonts w:cs="Times New Roman"/>
                <w:kern w:val="0"/>
                <w:sz w:val="19"/>
                <w:szCs w:val="19"/>
              </w:rPr>
              <w:t xml:space="preserve">in </w:t>
            </w:r>
            <w:r w:rsidR="00964BEE">
              <w:rPr>
                <w:rFonts w:cs="Times New Roman"/>
                <w:kern w:val="0"/>
                <w:sz w:val="19"/>
                <w:szCs w:val="19"/>
              </w:rPr>
              <w:t xml:space="preserve">some </w:t>
            </w:r>
            <w:r w:rsidR="00D25364" w:rsidRPr="00904835">
              <w:rPr>
                <w:rFonts w:cs="Times New Roman"/>
                <w:kern w:val="0"/>
                <w:sz w:val="19"/>
                <w:szCs w:val="19"/>
              </w:rPr>
              <w:t>c</w:t>
            </w:r>
            <w:r w:rsidR="00964BEE">
              <w:rPr>
                <w:rFonts w:cs="Times New Roman"/>
                <w:kern w:val="0"/>
                <w:sz w:val="19"/>
                <w:szCs w:val="19"/>
              </w:rPr>
              <w:t>ommunity</w:t>
            </w:r>
            <w:r w:rsidR="00D25364" w:rsidRPr="00904835">
              <w:rPr>
                <w:rFonts w:cs="Times New Roman"/>
                <w:kern w:val="0"/>
                <w:sz w:val="19"/>
                <w:szCs w:val="19"/>
              </w:rPr>
              <w:t xml:space="preserve"> focused actions and begins to reflect or describe how these actions may benefit individual(s) or communities. Demonstrates </w:t>
            </w:r>
            <w:r w:rsidR="00D25364" w:rsidRPr="00B64D5F">
              <w:rPr>
                <w:rFonts w:cs="Times New Roman"/>
                <w:kern w:val="0"/>
                <w:sz w:val="19"/>
                <w:szCs w:val="19"/>
              </w:rPr>
              <w:t xml:space="preserve">experience identifying intentional ways to </w:t>
            </w:r>
            <w:r w:rsidR="00D25364" w:rsidRPr="00B64D5F">
              <w:rPr>
                <w:rFonts w:cs="Times New Roman"/>
                <w:iCs/>
                <w:kern w:val="0"/>
                <w:sz w:val="19"/>
                <w:szCs w:val="19"/>
              </w:rPr>
              <w:t xml:space="preserve">participate in </w:t>
            </w:r>
            <w:r w:rsidR="00D25364" w:rsidRPr="00B64D5F">
              <w:rPr>
                <w:rFonts w:cs="Times New Roman"/>
                <w:kern w:val="0"/>
                <w:sz w:val="19"/>
                <w:szCs w:val="19"/>
              </w:rPr>
              <w:t>community contexts and structures.</w:t>
            </w: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6F4E" w14:textId="159BFAF8" w:rsidR="00D25364" w:rsidRPr="00904835" w:rsidRDefault="00964BEE" w:rsidP="0069262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>
              <w:rPr>
                <w:rFonts w:cs="Times New Roman"/>
                <w:iCs/>
                <w:kern w:val="0"/>
                <w:sz w:val="19"/>
                <w:szCs w:val="19"/>
              </w:rPr>
              <w:t>E</w:t>
            </w:r>
            <w:r w:rsidR="00D25364" w:rsidRPr="00904835">
              <w:rPr>
                <w:rFonts w:cs="Times New Roman"/>
                <w:iCs/>
                <w:kern w:val="0"/>
                <w:sz w:val="19"/>
                <w:szCs w:val="19"/>
              </w:rPr>
              <w:t>xperiment</w:t>
            </w:r>
            <w:r>
              <w:rPr>
                <w:rFonts w:cs="Times New Roman"/>
                <w:iCs/>
                <w:kern w:val="0"/>
                <w:sz w:val="19"/>
                <w:szCs w:val="19"/>
              </w:rPr>
              <w:t>s</w:t>
            </w:r>
            <w:r w:rsidR="00D25364" w:rsidRPr="00904835">
              <w:rPr>
                <w:rFonts w:cs="Times New Roman"/>
                <w:iCs/>
                <w:kern w:val="0"/>
                <w:sz w:val="19"/>
                <w:szCs w:val="19"/>
              </w:rPr>
              <w:t xml:space="preserve"> </w:t>
            </w:r>
            <w:r w:rsidR="00D25364" w:rsidRPr="00904835">
              <w:rPr>
                <w:rFonts w:cs="Times New Roman"/>
                <w:kern w:val="0"/>
                <w:sz w:val="19"/>
                <w:szCs w:val="19"/>
              </w:rPr>
              <w:t>with some c</w:t>
            </w:r>
            <w:r>
              <w:rPr>
                <w:rFonts w:cs="Times New Roman"/>
                <w:kern w:val="0"/>
                <w:sz w:val="19"/>
                <w:szCs w:val="19"/>
              </w:rPr>
              <w:t>ommunity</w:t>
            </w:r>
            <w:r w:rsidR="00D25364" w:rsidRPr="00904835">
              <w:rPr>
                <w:rFonts w:cs="Times New Roman"/>
                <w:kern w:val="0"/>
                <w:sz w:val="19"/>
                <w:szCs w:val="19"/>
              </w:rPr>
              <w:t xml:space="preserve"> activities but shows little internalized </w:t>
            </w:r>
            <w:r w:rsidR="00D25364" w:rsidRPr="00B64D5F">
              <w:rPr>
                <w:rFonts w:cs="Times New Roman"/>
                <w:kern w:val="0"/>
                <w:sz w:val="19"/>
                <w:szCs w:val="19"/>
              </w:rPr>
              <w:t xml:space="preserve">understanding of their aims or effects and little commitment to future action. Experiments with community contexts and structures </w:t>
            </w:r>
            <w:r>
              <w:rPr>
                <w:rFonts w:cs="Times New Roman"/>
                <w:kern w:val="0"/>
                <w:sz w:val="19"/>
                <w:szCs w:val="19"/>
              </w:rPr>
              <w:t xml:space="preserve">(i.e. </w:t>
            </w:r>
            <w:r w:rsidR="00D25364" w:rsidRPr="00B64D5F">
              <w:rPr>
                <w:rFonts w:cs="Times New Roman"/>
                <w:iCs/>
                <w:kern w:val="0"/>
                <w:sz w:val="19"/>
                <w:szCs w:val="19"/>
              </w:rPr>
              <w:t>tries out a few to see what fits</w:t>
            </w:r>
            <w:r>
              <w:rPr>
                <w:rFonts w:cs="Times New Roman"/>
                <w:iCs/>
                <w:kern w:val="0"/>
                <w:sz w:val="19"/>
                <w:szCs w:val="19"/>
              </w:rPr>
              <w:t>).</w:t>
            </w:r>
          </w:p>
        </w:tc>
      </w:tr>
    </w:tbl>
    <w:p w14:paraId="0E91A455" w14:textId="77777777" w:rsidR="00D25364" w:rsidRDefault="00D25364" w:rsidP="000E637C">
      <w:pPr>
        <w:pStyle w:val="Standard"/>
        <w:jc w:val="center"/>
        <w:rPr>
          <w:b/>
          <w:smallCaps/>
          <w:color w:val="000000"/>
          <w:sz w:val="40"/>
          <w:szCs w:val="40"/>
          <w:lang w:val="en-US"/>
        </w:rPr>
      </w:pPr>
    </w:p>
    <w:sectPr w:rsidR="00D25364" w:rsidSect="00F07D88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838F" w14:textId="77777777" w:rsidR="003B3249" w:rsidRDefault="003B3249" w:rsidP="00DC2EC2">
      <w:r>
        <w:separator/>
      </w:r>
    </w:p>
  </w:endnote>
  <w:endnote w:type="continuationSeparator" w:id="0">
    <w:p w14:paraId="4E5EC978" w14:textId="77777777" w:rsidR="003B3249" w:rsidRDefault="003B3249" w:rsidP="00DC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1D25" w14:textId="77777777" w:rsidR="0069262A" w:rsidRPr="00C81ECF" w:rsidRDefault="0069262A">
    <w:pPr>
      <w:pStyle w:val="Footer"/>
      <w:rPr>
        <w:rFonts w:cs="Times New Roman"/>
        <w:i/>
        <w:sz w:val="16"/>
        <w:szCs w:val="16"/>
      </w:rPr>
    </w:pPr>
    <w:r w:rsidRPr="00C81ECF">
      <w:rPr>
        <w:rFonts w:cs="Times New Roman"/>
        <w:color w:val="000000"/>
        <w:sz w:val="16"/>
        <w:szCs w:val="16"/>
        <w:shd w:val="clear" w:color="auto" w:fill="FFFFFF"/>
      </w:rPr>
      <w:t>Excerpted with permission from</w:t>
    </w:r>
    <w:r w:rsidRPr="00C81ECF">
      <w:rPr>
        <w:rStyle w:val="apple-converted-space"/>
        <w:rFonts w:cs="Times New Roman"/>
        <w:color w:val="000000"/>
        <w:sz w:val="16"/>
        <w:szCs w:val="16"/>
        <w:shd w:val="clear" w:color="auto" w:fill="FFFFFF"/>
      </w:rPr>
      <w:t> </w:t>
    </w:r>
    <w:r w:rsidRPr="00C81ECF">
      <w:rPr>
        <w:rStyle w:val="Emphasis"/>
        <w:rFonts w:cs="Times New Roman"/>
        <w:color w:val="000000"/>
        <w:sz w:val="16"/>
        <w:szCs w:val="16"/>
        <w:bdr w:val="none" w:sz="0" w:space="0" w:color="auto" w:frame="1"/>
        <w:shd w:val="clear" w:color="auto" w:fill="FFFFFF"/>
      </w:rPr>
      <w:t>Assessing Outcomes and Improving Achievement: Tips and tools for Using Rubrics</w:t>
    </w:r>
    <w:r w:rsidRPr="00C81ECF">
      <w:rPr>
        <w:rFonts w:cs="Times New Roman"/>
        <w:color w:val="000000"/>
        <w:sz w:val="16"/>
        <w:szCs w:val="16"/>
        <w:shd w:val="clear" w:color="auto" w:fill="FFFFFF"/>
      </w:rPr>
      <w:t xml:space="preserve">, edited by Terrel L. Rhodes. Copyright 2010 by the Association of American Colleges and Universities.  </w:t>
    </w:r>
    <w:r w:rsidRPr="00C81ECF">
      <w:rPr>
        <w:rFonts w:cs="Times New Roman"/>
        <w:color w:val="000000"/>
        <w:sz w:val="16"/>
        <w:szCs w:val="16"/>
        <w:shd w:val="clear" w:color="auto" w:fill="FFFFFF"/>
      </w:rPr>
      <w:fldChar w:fldCharType="begin"/>
    </w:r>
    <w:r w:rsidRPr="00C81ECF">
      <w:rPr>
        <w:rFonts w:cs="Times New Roman"/>
        <w:color w:val="000000"/>
        <w:sz w:val="16"/>
        <w:szCs w:val="16"/>
        <w:shd w:val="clear" w:color="auto" w:fill="FFFFFF"/>
      </w:rPr>
      <w:instrText xml:space="preserve"> PAGE   \* MERGEFORMAT </w:instrText>
    </w:r>
    <w:r w:rsidRPr="00C81ECF">
      <w:rPr>
        <w:rFonts w:cs="Times New Roman"/>
        <w:color w:val="000000"/>
        <w:sz w:val="16"/>
        <w:szCs w:val="16"/>
        <w:shd w:val="clear" w:color="auto" w:fill="FFFFFF"/>
      </w:rPr>
      <w:fldChar w:fldCharType="separate"/>
    </w:r>
    <w:r w:rsidR="0048440D">
      <w:rPr>
        <w:rFonts w:cs="Times New Roman"/>
        <w:noProof/>
        <w:color w:val="000000"/>
        <w:sz w:val="16"/>
        <w:szCs w:val="16"/>
        <w:shd w:val="clear" w:color="auto" w:fill="FFFFFF"/>
      </w:rPr>
      <w:t>1</w:t>
    </w:r>
    <w:r w:rsidRPr="00C81ECF">
      <w:rPr>
        <w:rFonts w:cs="Times New Roman"/>
        <w:noProof/>
        <w:color w:val="000000"/>
        <w:sz w:val="16"/>
        <w:szCs w:val="1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CDB8" w14:textId="77777777" w:rsidR="003B3249" w:rsidRDefault="003B3249" w:rsidP="00DC2EC2">
      <w:r>
        <w:separator/>
      </w:r>
    </w:p>
  </w:footnote>
  <w:footnote w:type="continuationSeparator" w:id="0">
    <w:p w14:paraId="045486F8" w14:textId="77777777" w:rsidR="003B3249" w:rsidRDefault="003B3249" w:rsidP="00DC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30B34"/>
    <w:multiLevelType w:val="multilevel"/>
    <w:tmpl w:val="183889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D8"/>
    <w:rsid w:val="0000603C"/>
    <w:rsid w:val="0003566C"/>
    <w:rsid w:val="00042709"/>
    <w:rsid w:val="000736B7"/>
    <w:rsid w:val="00084F6F"/>
    <w:rsid w:val="000B75D8"/>
    <w:rsid w:val="000C04CB"/>
    <w:rsid w:val="000D3D8A"/>
    <w:rsid w:val="000E637C"/>
    <w:rsid w:val="000F6446"/>
    <w:rsid w:val="00124C24"/>
    <w:rsid w:val="00164918"/>
    <w:rsid w:val="00172D69"/>
    <w:rsid w:val="00174263"/>
    <w:rsid w:val="001753A3"/>
    <w:rsid w:val="001768B0"/>
    <w:rsid w:val="0018305B"/>
    <w:rsid w:val="001C4CCC"/>
    <w:rsid w:val="001F349A"/>
    <w:rsid w:val="002022DA"/>
    <w:rsid w:val="00210A1E"/>
    <w:rsid w:val="00211450"/>
    <w:rsid w:val="00235523"/>
    <w:rsid w:val="00245CED"/>
    <w:rsid w:val="00264183"/>
    <w:rsid w:val="0027688B"/>
    <w:rsid w:val="002820A7"/>
    <w:rsid w:val="002E6FD4"/>
    <w:rsid w:val="00320BB9"/>
    <w:rsid w:val="003269B9"/>
    <w:rsid w:val="00391B90"/>
    <w:rsid w:val="00391BBE"/>
    <w:rsid w:val="003A09FE"/>
    <w:rsid w:val="003B3249"/>
    <w:rsid w:val="003C50DA"/>
    <w:rsid w:val="00411389"/>
    <w:rsid w:val="00424E52"/>
    <w:rsid w:val="00440871"/>
    <w:rsid w:val="0046628D"/>
    <w:rsid w:val="0048440D"/>
    <w:rsid w:val="004A67FD"/>
    <w:rsid w:val="004C180A"/>
    <w:rsid w:val="005333EC"/>
    <w:rsid w:val="005A06BA"/>
    <w:rsid w:val="005A587B"/>
    <w:rsid w:val="005F5F18"/>
    <w:rsid w:val="005F664B"/>
    <w:rsid w:val="00636F28"/>
    <w:rsid w:val="0064289E"/>
    <w:rsid w:val="00654E4E"/>
    <w:rsid w:val="0066650E"/>
    <w:rsid w:val="00675689"/>
    <w:rsid w:val="0069262A"/>
    <w:rsid w:val="00694353"/>
    <w:rsid w:val="006D0282"/>
    <w:rsid w:val="006F0F56"/>
    <w:rsid w:val="006F104A"/>
    <w:rsid w:val="006F4B5C"/>
    <w:rsid w:val="00700F37"/>
    <w:rsid w:val="00706FEE"/>
    <w:rsid w:val="007B0381"/>
    <w:rsid w:val="007B2169"/>
    <w:rsid w:val="007C18FC"/>
    <w:rsid w:val="007C7177"/>
    <w:rsid w:val="007D4583"/>
    <w:rsid w:val="007E01B5"/>
    <w:rsid w:val="007E4BC5"/>
    <w:rsid w:val="0082449E"/>
    <w:rsid w:val="008337B9"/>
    <w:rsid w:val="00850E26"/>
    <w:rsid w:val="00871FDF"/>
    <w:rsid w:val="008A1799"/>
    <w:rsid w:val="008A7889"/>
    <w:rsid w:val="008B24A2"/>
    <w:rsid w:val="00907735"/>
    <w:rsid w:val="00962825"/>
    <w:rsid w:val="00964BEE"/>
    <w:rsid w:val="009B12E3"/>
    <w:rsid w:val="009D5454"/>
    <w:rsid w:val="00A17861"/>
    <w:rsid w:val="00A471FC"/>
    <w:rsid w:val="00A60D9C"/>
    <w:rsid w:val="00A63741"/>
    <w:rsid w:val="00A8560E"/>
    <w:rsid w:val="00AA7D48"/>
    <w:rsid w:val="00AB0D9E"/>
    <w:rsid w:val="00AB4C2D"/>
    <w:rsid w:val="00AC6E48"/>
    <w:rsid w:val="00B17E2C"/>
    <w:rsid w:val="00B35CFB"/>
    <w:rsid w:val="00B641B1"/>
    <w:rsid w:val="00B64BD3"/>
    <w:rsid w:val="00B67306"/>
    <w:rsid w:val="00BA4090"/>
    <w:rsid w:val="00BA6192"/>
    <w:rsid w:val="00BB0265"/>
    <w:rsid w:val="00C172A0"/>
    <w:rsid w:val="00C57B2D"/>
    <w:rsid w:val="00C66322"/>
    <w:rsid w:val="00C81ECF"/>
    <w:rsid w:val="00C90EEA"/>
    <w:rsid w:val="00D25364"/>
    <w:rsid w:val="00D27204"/>
    <w:rsid w:val="00D474CC"/>
    <w:rsid w:val="00D74796"/>
    <w:rsid w:val="00D83DE1"/>
    <w:rsid w:val="00D84BBD"/>
    <w:rsid w:val="00DA6BA6"/>
    <w:rsid w:val="00DC2EC2"/>
    <w:rsid w:val="00DC6F5D"/>
    <w:rsid w:val="00DE5EEE"/>
    <w:rsid w:val="00DF7B45"/>
    <w:rsid w:val="00E679AD"/>
    <w:rsid w:val="00EC1F00"/>
    <w:rsid w:val="00EE6DF5"/>
    <w:rsid w:val="00F07D88"/>
    <w:rsid w:val="00F14C44"/>
    <w:rsid w:val="00F25163"/>
    <w:rsid w:val="00F25A0E"/>
    <w:rsid w:val="00F42AD6"/>
    <w:rsid w:val="00F46665"/>
    <w:rsid w:val="00F848D9"/>
    <w:rsid w:val="00FA57C1"/>
    <w:rsid w:val="00FB3C74"/>
    <w:rsid w:val="1DF66943"/>
    <w:rsid w:val="3BE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8F006"/>
  <w15:docId w15:val="{75CF72A3-1C10-4183-B8A9-6DE47182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2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962825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962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25"/>
    <w:rPr>
      <w:rFonts w:ascii="Times New Roman" w:eastAsia="Tahoma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rsid w:val="00962825"/>
  </w:style>
  <w:style w:type="character" w:styleId="Emphasis">
    <w:name w:val="Emphasis"/>
    <w:uiPriority w:val="20"/>
    <w:qFormat/>
    <w:rsid w:val="009628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EC2"/>
    <w:rPr>
      <w:rFonts w:ascii="Times New Roman" w:eastAsia="Tahoma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48"/>
    <w:rPr>
      <w:rFonts w:ascii="Segoe UI" w:eastAsia="Tahoma" w:hAnsi="Segoe UI" w:cs="Segoe UI"/>
      <w:kern w:val="3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5333E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A0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DiGorio</dc:creator>
  <cp:keywords/>
  <dc:description/>
  <cp:lastModifiedBy>Meredith Hein</cp:lastModifiedBy>
  <cp:revision>2</cp:revision>
  <cp:lastPrinted>2015-01-07T20:27:00Z</cp:lastPrinted>
  <dcterms:created xsi:type="dcterms:W3CDTF">2022-12-19T13:55:00Z</dcterms:created>
  <dcterms:modified xsi:type="dcterms:W3CDTF">2022-12-19T13:55:00Z</dcterms:modified>
</cp:coreProperties>
</file>